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2AAD0" w14:textId="77777777" w:rsidR="00202FEC" w:rsidRDefault="00000000">
      <w:pPr>
        <w:spacing w:before="800" w:after="200"/>
      </w:pPr>
      <w:r>
        <w:rPr>
          <w:rFonts w:ascii="Calibri" w:eastAsia="Calibri" w:hAnsi="Calibri" w:cs="Calibri"/>
          <w:b/>
          <w:bCs/>
          <w:color w:val="1F2A44"/>
          <w:sz w:val="56"/>
          <w:szCs w:val="56"/>
        </w:rPr>
        <w:t>SHARP-ER</w:t>
      </w:r>
    </w:p>
    <w:p w14:paraId="74FFC1B4" w14:textId="77777777" w:rsidR="00202FEC" w:rsidRDefault="00000000">
      <w:pPr>
        <w:spacing w:after="400"/>
      </w:pPr>
      <w:r>
        <w:rPr>
          <w:rFonts w:ascii="Calibri" w:eastAsia="Calibri" w:hAnsi="Calibri" w:cs="Calibri"/>
          <w:color w:val="595959"/>
          <w:sz w:val="32"/>
          <w:szCs w:val="32"/>
        </w:rPr>
        <w:t>Website — Draft Section Copy (EN / AR)</w:t>
      </w:r>
    </w:p>
    <w:p w14:paraId="14D0B80F" w14:textId="62F7707A" w:rsidR="00202FEC" w:rsidRDefault="00000000" w:rsidP="00744762">
      <w:pPr>
        <w:spacing w:after="100"/>
        <w:rPr>
          <w:rFonts w:ascii="Calibri" w:eastAsia="Calibri" w:hAnsi="Calibri" w:cs="Calibri"/>
          <w:i/>
          <w:iCs/>
          <w:color w:val="595959"/>
          <w:sz w:val="21"/>
          <w:szCs w:val="21"/>
        </w:rPr>
      </w:pPr>
      <w:r>
        <w:rPr>
          <w:rFonts w:ascii="Calibri" w:eastAsia="Calibri" w:hAnsi="Calibri" w:cs="Calibri"/>
          <w:i/>
          <w:iCs/>
          <w:color w:val="595959"/>
          <w:sz w:val="21"/>
          <w:szCs w:val="21"/>
        </w:rPr>
        <w:t xml:space="preserve">Placeholder text for design purposes — not final copy. </w:t>
      </w:r>
    </w:p>
    <w:p w14:paraId="143FB987" w14:textId="12BCBB23" w:rsidR="00744762" w:rsidRDefault="00744762" w:rsidP="00744762">
      <w:pPr>
        <w:spacing w:after="100"/>
      </w:pPr>
      <w:r>
        <w:rPr>
          <w:rFonts w:ascii="Calibri" w:eastAsia="Calibri" w:hAnsi="Calibri" w:cs="Calibri"/>
          <w:i/>
          <w:iCs/>
          <w:color w:val="595959"/>
          <w:sz w:val="21"/>
          <w:szCs w:val="21"/>
        </w:rPr>
        <w:t xml:space="preserve">Images Attached </w:t>
      </w:r>
    </w:p>
    <w:p w14:paraId="2631C934" w14:textId="77777777" w:rsidR="00202FEC" w:rsidRDefault="00000000">
      <w:pPr>
        <w:pageBreakBefore/>
        <w:spacing w:after="160"/>
      </w:pPr>
      <w:r>
        <w:rPr>
          <w:rFonts w:ascii="Calibri" w:eastAsia="Calibri" w:hAnsi="Calibri" w:cs="Calibri"/>
          <w:b/>
          <w:bCs/>
          <w:color w:val="1F2A44"/>
          <w:sz w:val="26"/>
          <w:szCs w:val="26"/>
        </w:rPr>
        <w:lastRenderedPageBreak/>
        <w:t>Notes Before Handoff</w:t>
      </w:r>
    </w:p>
    <w:p w14:paraId="6360DB91" w14:textId="77777777" w:rsidR="00202FEC" w:rsidRDefault="00000000">
      <w:pPr>
        <w:spacing w:after="200"/>
      </w:pPr>
      <w:r>
        <w:rPr>
          <w:rFonts w:ascii="Calibri" w:eastAsia="Calibri" w:hAnsi="Calibri" w:cs="Calibri"/>
          <w:i/>
          <w:iCs/>
          <w:color w:val="595959"/>
          <w:sz w:val="21"/>
          <w:szCs w:val="21"/>
        </w:rPr>
        <w:t>Everything below is draft placeholder copy for layout purposes — not the final, approved version.</w:t>
      </w:r>
    </w:p>
    <w:p w14:paraId="15D425D7" w14:textId="77777777" w:rsidR="00202FEC" w:rsidRDefault="00000000">
      <w:pPr>
        <w:spacing w:after="40"/>
      </w:pPr>
      <w:r>
        <w:rPr>
          <w:rFonts w:ascii="Calibri" w:eastAsia="Calibri" w:hAnsi="Calibri" w:cs="Calibri"/>
          <w:b/>
          <w:bCs/>
          <w:color w:val="1F2A44"/>
          <w:sz w:val="34"/>
          <w:szCs w:val="34"/>
        </w:rPr>
        <w:t>1. About</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عن المشروع</w:t>
      </w:r>
    </w:p>
    <w:p w14:paraId="059FB621"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5B1AC376" w14:textId="77777777" w:rsidR="00202FEC" w:rsidRDefault="00000000">
      <w:pPr>
        <w:spacing w:before="60" w:after="80"/>
      </w:pPr>
      <w:r>
        <w:rPr>
          <w:rFonts w:ascii="Calibri" w:eastAsia="Calibri" w:hAnsi="Calibri" w:cs="Calibri"/>
          <w:b/>
          <w:bCs/>
          <w:color w:val="1F2A44"/>
          <w:sz w:val="30"/>
          <w:szCs w:val="30"/>
        </w:rPr>
        <w:t>Strengthening the Rule of Law, Together</w:t>
      </w:r>
    </w:p>
    <w:p w14:paraId="2CC97DE7" w14:textId="77777777" w:rsidR="00202FEC" w:rsidRDefault="00000000">
      <w:pPr>
        <w:spacing w:after="160"/>
      </w:pPr>
      <w:r>
        <w:rPr>
          <w:rFonts w:ascii="Calibri" w:eastAsia="Calibri" w:hAnsi="Calibri" w:cs="Calibri"/>
          <w:i/>
          <w:iCs/>
          <w:color w:val="595959"/>
          <w:sz w:val="23"/>
          <w:szCs w:val="23"/>
        </w:rPr>
        <w:t>SHARP-ER (Shared Action on Rule of Law Progress – Exit Route) is a nationwide initiative supporting Libya's civil society, local institutions, and communities in advancing justice, accountability, and good governance.</w:t>
      </w:r>
    </w:p>
    <w:p w14:paraId="48EFE04F" w14:textId="77777777" w:rsidR="00202FEC" w:rsidRDefault="00000000">
      <w:pPr>
        <w:spacing w:after="140"/>
      </w:pPr>
      <w:r>
        <w:rPr>
          <w:rFonts w:ascii="Calibri" w:eastAsia="Calibri" w:hAnsi="Calibri" w:cs="Calibri"/>
          <w:color w:val="262626"/>
          <w:sz w:val="22"/>
          <w:szCs w:val="22"/>
        </w:rPr>
        <w:t>Running from December 2025 to December 2027, SHARP-ER is implemented by Acted, in consortium with United Efforts Consultancy (UEC) and Stichting Bureau Ensemble (SBE), and funded by the European Union. The project works nationwide across Libya, partnering with civil society organisations, municipalities, and community leaders to strengthen access to justice, build the capacity of civil society to hold institutions accountable, and improve local governance and service delivery.</w:t>
      </w:r>
    </w:p>
    <w:p w14:paraId="357D04ED" w14:textId="77777777" w:rsidR="00202FEC" w:rsidRDefault="00000000">
      <w:pPr>
        <w:spacing w:after="140"/>
      </w:pPr>
      <w:r>
        <w:rPr>
          <w:rFonts w:ascii="Calibri" w:eastAsia="Calibri" w:hAnsi="Calibri" w:cs="Calibri"/>
          <w:color w:val="262626"/>
          <w:sz w:val="22"/>
          <w:szCs w:val="22"/>
        </w:rPr>
        <w:t>SHARP-ER builds on the foundation of SHARP I and II (2019–2024) [link: read about the SHARP legacy], carrying its network of civil society partners and its dialogue practice into a new phase focused on sustainability and exit.</w:t>
      </w:r>
    </w:p>
    <w:p w14:paraId="1832C3DA"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Acted — </w:t>
      </w:r>
      <w:r>
        <w:rPr>
          <w:rFonts w:ascii="Calibri" w:eastAsia="Calibri" w:hAnsi="Calibri" w:cs="Calibri"/>
          <w:sz w:val="22"/>
          <w:szCs w:val="22"/>
        </w:rPr>
        <w:t>Lead implementing partner — overall project management and civil society sub-projects</w:t>
      </w:r>
    </w:p>
    <w:p w14:paraId="6E904E2C"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United Efforts Consultancy (UEC) — </w:t>
      </w:r>
      <w:r>
        <w:rPr>
          <w:rFonts w:ascii="Calibri" w:eastAsia="Calibri" w:hAnsi="Calibri" w:cs="Calibri"/>
          <w:sz w:val="22"/>
          <w:szCs w:val="22"/>
        </w:rPr>
        <w:t>Network strengthening, dialogue, and peer-learning</w:t>
      </w:r>
    </w:p>
    <w:p w14:paraId="3113CEDE"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Stichting Bureau Ensemble (SBE) — </w:t>
      </w:r>
      <w:r>
        <w:rPr>
          <w:rFonts w:ascii="Calibri" w:eastAsia="Calibri" w:hAnsi="Calibri" w:cs="Calibri"/>
          <w:sz w:val="22"/>
          <w:szCs w:val="22"/>
        </w:rPr>
        <w:t>Research, perception data, and knowledge publications</w:t>
      </w:r>
    </w:p>
    <w:p w14:paraId="5FF3EF3E" w14:textId="77777777" w:rsidR="00202FEC" w:rsidRDefault="00000000">
      <w:pPr>
        <w:spacing w:after="140"/>
      </w:pPr>
      <w:r>
        <w:rPr>
          <w:rFonts w:ascii="Calibri" w:eastAsia="Calibri" w:hAnsi="Calibri" w:cs="Calibri"/>
          <w:color w:val="262626"/>
          <w:sz w:val="22"/>
          <w:szCs w:val="22"/>
        </w:rPr>
        <w:t>Funded by: the European Union [EU visibility logo placeholder]</w:t>
      </w:r>
    </w:p>
    <w:p w14:paraId="2C2DFA23"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Strengthening Rule of Law — </w:t>
      </w:r>
      <w:r>
        <w:rPr>
          <w:rFonts w:ascii="Calibri" w:eastAsia="Calibri" w:hAnsi="Calibri" w:cs="Calibri"/>
          <w:sz w:val="22"/>
          <w:szCs w:val="22"/>
        </w:rPr>
        <w:t>Supporting local institutions to improve access to justice and transparency</w:t>
      </w:r>
    </w:p>
    <w:p w14:paraId="7AE1D7AB"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Empowering Civil Society — </w:t>
      </w:r>
      <w:r>
        <w:rPr>
          <w:rFonts w:ascii="Calibri" w:eastAsia="Calibri" w:hAnsi="Calibri" w:cs="Calibri"/>
          <w:sz w:val="22"/>
          <w:szCs w:val="22"/>
        </w:rPr>
        <w:t>Building the capacity of CSOs to strengthen their role in oversight and accountability</w:t>
      </w:r>
    </w:p>
    <w:p w14:paraId="451BBBD9"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Supporting Local Governance — </w:t>
      </w:r>
      <w:r>
        <w:rPr>
          <w:rFonts w:ascii="Calibri" w:eastAsia="Calibri" w:hAnsi="Calibri" w:cs="Calibri"/>
          <w:sz w:val="22"/>
          <w:szCs w:val="22"/>
        </w:rPr>
        <w:t>Enhancing collaboration between municipalities and local actors to improve service delivery</w:t>
      </w:r>
    </w:p>
    <w:p w14:paraId="54024FEB" w14:textId="77777777" w:rsidR="00202FEC" w:rsidRDefault="00000000">
      <w:pPr>
        <w:spacing w:before="80" w:after="220"/>
      </w:pPr>
      <w:r>
        <w:rPr>
          <w:rFonts w:ascii="Calibri" w:eastAsia="Calibri" w:hAnsi="Calibri" w:cs="Calibri"/>
          <w:b/>
          <w:bCs/>
          <w:color w:val="1F2A44"/>
          <w:sz w:val="21"/>
          <w:szCs w:val="21"/>
        </w:rPr>
        <w:t>Learn what we do →</w:t>
      </w:r>
    </w:p>
    <w:p w14:paraId="77C0CD46"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3A8FEDA4"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نحو تعزيز سيادة القانون، معًا</w:t>
      </w:r>
    </w:p>
    <w:p w14:paraId="3E9C861E"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SHARP-ER (العمل المشترك لتعزيز سيادة القانون – مسار الخروج) هو مبادرة وطنية تدعم المجتمع المدني والمؤسسات المحلية والمجتمعات الليبية في تعزيز العدالة والمساءلة والحوكمة الرشيدة.</w:t>
      </w:r>
    </w:p>
    <w:p w14:paraId="15D20910" w14:textId="77777777" w:rsidR="00202FEC" w:rsidRDefault="00000000">
      <w:pPr>
        <w:bidi/>
        <w:spacing w:after="140"/>
        <w:jc w:val="right"/>
      </w:pPr>
      <w:r>
        <w:rPr>
          <w:rFonts w:ascii="Traditional Arabic" w:eastAsia="Traditional Arabic" w:hAnsi="Traditional Arabic" w:cs="Traditional Arabic"/>
          <w:color w:val="262626"/>
          <w:sz w:val="24"/>
          <w:szCs w:val="24"/>
          <w:rtl/>
        </w:rPr>
        <w:t xml:space="preserve">يمتد المشروع من ديسمبر 2025 إلى ديسمبر 2027، ويُنفَّذ من قِبل منظمة </w:t>
      </w:r>
      <w:proofErr w:type="spellStart"/>
      <w:r>
        <w:rPr>
          <w:rFonts w:ascii="Traditional Arabic" w:eastAsia="Traditional Arabic" w:hAnsi="Traditional Arabic" w:cs="Traditional Arabic"/>
          <w:color w:val="262626"/>
          <w:sz w:val="24"/>
          <w:szCs w:val="24"/>
          <w:rtl/>
        </w:rPr>
        <w:t>Acted</w:t>
      </w:r>
      <w:proofErr w:type="spellEnd"/>
      <w:r>
        <w:rPr>
          <w:rFonts w:ascii="Traditional Arabic" w:eastAsia="Traditional Arabic" w:hAnsi="Traditional Arabic" w:cs="Traditional Arabic"/>
          <w:color w:val="262626"/>
          <w:sz w:val="24"/>
          <w:szCs w:val="24"/>
          <w:rtl/>
        </w:rPr>
        <w:t xml:space="preserve"> بالشراكة مع </w:t>
      </w:r>
      <w:proofErr w:type="spellStart"/>
      <w:r>
        <w:rPr>
          <w:rFonts w:ascii="Traditional Arabic" w:eastAsia="Traditional Arabic" w:hAnsi="Traditional Arabic" w:cs="Traditional Arabic"/>
          <w:color w:val="262626"/>
          <w:sz w:val="24"/>
          <w:szCs w:val="24"/>
          <w:rtl/>
        </w:rPr>
        <w:t>United</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Efforts</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Consultancy</w:t>
      </w:r>
      <w:proofErr w:type="spellEnd"/>
      <w:r>
        <w:rPr>
          <w:rFonts w:ascii="Traditional Arabic" w:eastAsia="Traditional Arabic" w:hAnsi="Traditional Arabic" w:cs="Traditional Arabic"/>
          <w:color w:val="262626"/>
          <w:sz w:val="24"/>
          <w:szCs w:val="24"/>
          <w:rtl/>
        </w:rPr>
        <w:t xml:space="preserve"> (UEC) </w:t>
      </w:r>
      <w:proofErr w:type="spellStart"/>
      <w:r>
        <w:rPr>
          <w:rFonts w:ascii="Traditional Arabic" w:eastAsia="Traditional Arabic" w:hAnsi="Traditional Arabic" w:cs="Traditional Arabic"/>
          <w:color w:val="262626"/>
          <w:sz w:val="24"/>
          <w:szCs w:val="24"/>
          <w:rtl/>
        </w:rPr>
        <w:t>وStichting</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Bureau</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Ensemble</w:t>
      </w:r>
      <w:proofErr w:type="spellEnd"/>
      <w:r>
        <w:rPr>
          <w:rFonts w:ascii="Traditional Arabic" w:eastAsia="Traditional Arabic" w:hAnsi="Traditional Arabic" w:cs="Traditional Arabic"/>
          <w:color w:val="262626"/>
          <w:sz w:val="24"/>
          <w:szCs w:val="24"/>
          <w:rtl/>
        </w:rPr>
        <w:t xml:space="preserve"> (SBE)، وبتمويل من الاتحاد الأوروبي. يعمل المشروع على مستوى ليبيا بأكملها، بالتعاون مع منظمات المجتمع المدني والبلديات والقيادات المجتمعية، من أجل تحسين الوصول إلى العدالة، وبناء قدرات المجتمع المدني على مساءلة المؤسسات، وتحسين الحوكمة المحلية وتقديم الخدمات.</w:t>
      </w:r>
    </w:p>
    <w:p w14:paraId="35B26E53" w14:textId="77777777" w:rsidR="00202FEC" w:rsidRDefault="00000000">
      <w:pPr>
        <w:bidi/>
        <w:spacing w:after="140"/>
        <w:jc w:val="right"/>
      </w:pPr>
      <w:r>
        <w:rPr>
          <w:rFonts w:ascii="Traditional Arabic" w:eastAsia="Traditional Arabic" w:hAnsi="Traditional Arabic" w:cs="Traditional Arabic"/>
          <w:color w:val="262626"/>
          <w:sz w:val="24"/>
          <w:szCs w:val="24"/>
          <w:rtl/>
        </w:rPr>
        <w:t xml:space="preserve">يبني SHARP-ER على الأساس الذي </w:t>
      </w:r>
      <w:proofErr w:type="spellStart"/>
      <w:r>
        <w:rPr>
          <w:rFonts w:ascii="Traditional Arabic" w:eastAsia="Traditional Arabic" w:hAnsi="Traditional Arabic" w:cs="Traditional Arabic"/>
          <w:color w:val="262626"/>
          <w:sz w:val="24"/>
          <w:szCs w:val="24"/>
          <w:rtl/>
        </w:rPr>
        <w:t>أرساه</w:t>
      </w:r>
      <w:proofErr w:type="spellEnd"/>
      <w:r>
        <w:rPr>
          <w:rFonts w:ascii="Traditional Arabic" w:eastAsia="Traditional Arabic" w:hAnsi="Traditional Arabic" w:cs="Traditional Arabic"/>
          <w:color w:val="262626"/>
          <w:sz w:val="24"/>
          <w:szCs w:val="24"/>
          <w:rtl/>
        </w:rPr>
        <w:t xml:space="preserve"> مشروعا SHARP الأول والثاني (2019–2024) [رابط: اطّلع على إرث مشروع SHARP]، حاملًا معه شبكة الشركاء من المجتمع المدني وممارسة الحوار إلى مرحلة جديدة تركّز على الاستدامة ومسار الخروج.</w:t>
      </w:r>
    </w:p>
    <w:p w14:paraId="193F32E2"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الشريك المنفّذ الرئيسي — الإدارة العامة للمشروع والمشاريع الفرعية لمنظمات المجتمع المدني — </w:t>
      </w:r>
      <w:proofErr w:type="spellStart"/>
      <w:r>
        <w:rPr>
          <w:rFonts w:ascii="Traditional Arabic" w:eastAsia="Traditional Arabic" w:hAnsi="Traditional Arabic" w:cs="Traditional Arabic"/>
          <w:b/>
          <w:bCs/>
          <w:color w:val="1F2A44"/>
          <w:sz w:val="22"/>
          <w:szCs w:val="22"/>
          <w:rtl/>
        </w:rPr>
        <w:t>Acted</w:t>
      </w:r>
      <w:proofErr w:type="spellEnd"/>
    </w:p>
    <w:p w14:paraId="288FBB94"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lastRenderedPageBreak/>
        <w:t xml:space="preserve">تعزيز الشبكة، والحوار، والتعلّم بين الأقران — </w:t>
      </w:r>
      <w:proofErr w:type="spellStart"/>
      <w:r>
        <w:rPr>
          <w:rFonts w:ascii="Traditional Arabic" w:eastAsia="Traditional Arabic" w:hAnsi="Traditional Arabic" w:cs="Traditional Arabic"/>
          <w:b/>
          <w:bCs/>
          <w:color w:val="1F2A44"/>
          <w:sz w:val="22"/>
          <w:szCs w:val="22"/>
          <w:rtl/>
        </w:rPr>
        <w:t>United</w:t>
      </w:r>
      <w:proofErr w:type="spellEnd"/>
      <w:r>
        <w:rPr>
          <w:rFonts w:ascii="Traditional Arabic" w:eastAsia="Traditional Arabic" w:hAnsi="Traditional Arabic" w:cs="Traditional Arabic"/>
          <w:b/>
          <w:bCs/>
          <w:color w:val="1F2A44"/>
          <w:sz w:val="22"/>
          <w:szCs w:val="22"/>
          <w:rtl/>
        </w:rPr>
        <w:t xml:space="preserve"> </w:t>
      </w:r>
      <w:proofErr w:type="spellStart"/>
      <w:r>
        <w:rPr>
          <w:rFonts w:ascii="Traditional Arabic" w:eastAsia="Traditional Arabic" w:hAnsi="Traditional Arabic" w:cs="Traditional Arabic"/>
          <w:b/>
          <w:bCs/>
          <w:color w:val="1F2A44"/>
          <w:sz w:val="22"/>
          <w:szCs w:val="22"/>
          <w:rtl/>
        </w:rPr>
        <w:t>Efforts</w:t>
      </w:r>
      <w:proofErr w:type="spellEnd"/>
      <w:r>
        <w:rPr>
          <w:rFonts w:ascii="Traditional Arabic" w:eastAsia="Traditional Arabic" w:hAnsi="Traditional Arabic" w:cs="Traditional Arabic"/>
          <w:b/>
          <w:bCs/>
          <w:color w:val="1F2A44"/>
          <w:sz w:val="22"/>
          <w:szCs w:val="22"/>
          <w:rtl/>
        </w:rPr>
        <w:t xml:space="preserve"> </w:t>
      </w:r>
      <w:proofErr w:type="spellStart"/>
      <w:r>
        <w:rPr>
          <w:rFonts w:ascii="Traditional Arabic" w:eastAsia="Traditional Arabic" w:hAnsi="Traditional Arabic" w:cs="Traditional Arabic"/>
          <w:b/>
          <w:bCs/>
          <w:color w:val="1F2A44"/>
          <w:sz w:val="22"/>
          <w:szCs w:val="22"/>
          <w:rtl/>
        </w:rPr>
        <w:t>Consultancy</w:t>
      </w:r>
      <w:proofErr w:type="spellEnd"/>
      <w:r>
        <w:rPr>
          <w:rFonts w:ascii="Traditional Arabic" w:eastAsia="Traditional Arabic" w:hAnsi="Traditional Arabic" w:cs="Traditional Arabic"/>
          <w:b/>
          <w:bCs/>
          <w:color w:val="1F2A44"/>
          <w:sz w:val="22"/>
          <w:szCs w:val="22"/>
          <w:rtl/>
        </w:rPr>
        <w:t xml:space="preserve"> (UEC)</w:t>
      </w:r>
    </w:p>
    <w:p w14:paraId="2D1BEE70"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البحث، وبيانات الاستطلاع، والمنشورات المعرفية — </w:t>
      </w:r>
      <w:proofErr w:type="spellStart"/>
      <w:r>
        <w:rPr>
          <w:rFonts w:ascii="Traditional Arabic" w:eastAsia="Traditional Arabic" w:hAnsi="Traditional Arabic" w:cs="Traditional Arabic"/>
          <w:b/>
          <w:bCs/>
          <w:color w:val="1F2A44"/>
          <w:sz w:val="22"/>
          <w:szCs w:val="22"/>
          <w:rtl/>
        </w:rPr>
        <w:t>Stichting</w:t>
      </w:r>
      <w:proofErr w:type="spellEnd"/>
      <w:r>
        <w:rPr>
          <w:rFonts w:ascii="Traditional Arabic" w:eastAsia="Traditional Arabic" w:hAnsi="Traditional Arabic" w:cs="Traditional Arabic"/>
          <w:b/>
          <w:bCs/>
          <w:color w:val="1F2A44"/>
          <w:sz w:val="22"/>
          <w:szCs w:val="22"/>
          <w:rtl/>
        </w:rPr>
        <w:t xml:space="preserve"> </w:t>
      </w:r>
      <w:proofErr w:type="spellStart"/>
      <w:r>
        <w:rPr>
          <w:rFonts w:ascii="Traditional Arabic" w:eastAsia="Traditional Arabic" w:hAnsi="Traditional Arabic" w:cs="Traditional Arabic"/>
          <w:b/>
          <w:bCs/>
          <w:color w:val="1F2A44"/>
          <w:sz w:val="22"/>
          <w:szCs w:val="22"/>
          <w:rtl/>
        </w:rPr>
        <w:t>Bureau</w:t>
      </w:r>
      <w:proofErr w:type="spellEnd"/>
      <w:r>
        <w:rPr>
          <w:rFonts w:ascii="Traditional Arabic" w:eastAsia="Traditional Arabic" w:hAnsi="Traditional Arabic" w:cs="Traditional Arabic"/>
          <w:b/>
          <w:bCs/>
          <w:color w:val="1F2A44"/>
          <w:sz w:val="22"/>
          <w:szCs w:val="22"/>
          <w:rtl/>
        </w:rPr>
        <w:t xml:space="preserve"> </w:t>
      </w:r>
      <w:proofErr w:type="spellStart"/>
      <w:r>
        <w:rPr>
          <w:rFonts w:ascii="Traditional Arabic" w:eastAsia="Traditional Arabic" w:hAnsi="Traditional Arabic" w:cs="Traditional Arabic"/>
          <w:b/>
          <w:bCs/>
          <w:color w:val="1F2A44"/>
          <w:sz w:val="22"/>
          <w:szCs w:val="22"/>
          <w:rtl/>
        </w:rPr>
        <w:t>Ensemble</w:t>
      </w:r>
      <w:proofErr w:type="spellEnd"/>
      <w:r>
        <w:rPr>
          <w:rFonts w:ascii="Traditional Arabic" w:eastAsia="Traditional Arabic" w:hAnsi="Traditional Arabic" w:cs="Traditional Arabic"/>
          <w:b/>
          <w:bCs/>
          <w:color w:val="1F2A44"/>
          <w:sz w:val="22"/>
          <w:szCs w:val="22"/>
          <w:rtl/>
        </w:rPr>
        <w:t xml:space="preserve"> (SBE)</w:t>
      </w:r>
    </w:p>
    <w:p w14:paraId="23971814" w14:textId="77777777" w:rsidR="00202FEC" w:rsidRDefault="00000000">
      <w:pPr>
        <w:bidi/>
        <w:spacing w:after="140"/>
        <w:jc w:val="right"/>
      </w:pPr>
      <w:r>
        <w:rPr>
          <w:rFonts w:ascii="Traditional Arabic" w:eastAsia="Traditional Arabic" w:hAnsi="Traditional Arabic" w:cs="Traditional Arabic"/>
          <w:color w:val="262626"/>
          <w:sz w:val="24"/>
          <w:szCs w:val="24"/>
          <w:rtl/>
        </w:rPr>
        <w:t>بتمويل من: الاتحاد الأوروبي [شعار الرؤية الخاص بالاتحاد الأوروبي]</w:t>
      </w:r>
    </w:p>
    <w:p w14:paraId="7683857D"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دعم المؤسسات المحلية لتحسين الوصول إلى العدالة وتعزيز الشفافية — </w:t>
      </w:r>
      <w:r>
        <w:rPr>
          <w:rFonts w:ascii="Traditional Arabic" w:eastAsia="Traditional Arabic" w:hAnsi="Traditional Arabic" w:cs="Traditional Arabic"/>
          <w:b/>
          <w:bCs/>
          <w:color w:val="1F2A44"/>
          <w:sz w:val="22"/>
          <w:szCs w:val="22"/>
          <w:rtl/>
        </w:rPr>
        <w:t>تعزيز سيادة القانون</w:t>
      </w:r>
    </w:p>
    <w:p w14:paraId="2EA4FE87"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بناء قدرات منظمات المجتمع المدني لتعزيز دورها في الرقابة والمساءلة — </w:t>
      </w:r>
      <w:r>
        <w:rPr>
          <w:rFonts w:ascii="Traditional Arabic" w:eastAsia="Traditional Arabic" w:hAnsi="Traditional Arabic" w:cs="Traditional Arabic"/>
          <w:b/>
          <w:bCs/>
          <w:color w:val="1F2A44"/>
          <w:sz w:val="22"/>
          <w:szCs w:val="22"/>
          <w:rtl/>
        </w:rPr>
        <w:t>تمكين المجتمع المدني</w:t>
      </w:r>
    </w:p>
    <w:p w14:paraId="0AC54D19"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تعزيز التعاون بين البلديات والجهات الفاعلة المحلية لتحسين تقديم الخدمات — </w:t>
      </w:r>
      <w:r>
        <w:rPr>
          <w:rFonts w:ascii="Traditional Arabic" w:eastAsia="Traditional Arabic" w:hAnsi="Traditional Arabic" w:cs="Traditional Arabic"/>
          <w:b/>
          <w:bCs/>
          <w:color w:val="1F2A44"/>
          <w:sz w:val="22"/>
          <w:szCs w:val="22"/>
          <w:rtl/>
        </w:rPr>
        <w:t>دعم الحوكمة المحلية</w:t>
      </w:r>
    </w:p>
    <w:p w14:paraId="4E2B7992" w14:textId="77777777" w:rsidR="00202FEC" w:rsidRDefault="00000000">
      <w:pPr>
        <w:bidi/>
        <w:spacing w:before="80" w:after="220"/>
        <w:jc w:val="right"/>
      </w:pPr>
      <w:r>
        <w:rPr>
          <w:rFonts w:ascii="Traditional Arabic" w:eastAsia="Traditional Arabic" w:hAnsi="Traditional Arabic" w:cs="Traditional Arabic"/>
          <w:b/>
          <w:bCs/>
          <w:color w:val="1F2A44"/>
          <w:sz w:val="21"/>
          <w:szCs w:val="21"/>
          <w:rtl/>
        </w:rPr>
        <w:t>تعرّف على عملنا ←</w:t>
      </w:r>
    </w:p>
    <w:p w14:paraId="74E3A66F" w14:textId="77777777" w:rsidR="00202FEC" w:rsidRDefault="00000000">
      <w:pPr>
        <w:pageBreakBefore/>
        <w:spacing w:after="40"/>
      </w:pPr>
      <w:r>
        <w:rPr>
          <w:rFonts w:ascii="Calibri" w:eastAsia="Calibri" w:hAnsi="Calibri" w:cs="Calibri"/>
          <w:b/>
          <w:bCs/>
          <w:color w:val="1F2A44"/>
          <w:sz w:val="34"/>
          <w:szCs w:val="34"/>
        </w:rPr>
        <w:lastRenderedPageBreak/>
        <w:t>2. What We Do</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ماذا نفعل</w:t>
      </w:r>
    </w:p>
    <w:p w14:paraId="0CA9A350"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62EAF972" w14:textId="77777777" w:rsidR="00202FEC" w:rsidRDefault="00000000">
      <w:pPr>
        <w:spacing w:before="60" w:after="80"/>
      </w:pPr>
      <w:r>
        <w:rPr>
          <w:rFonts w:ascii="Calibri" w:eastAsia="Calibri" w:hAnsi="Calibri" w:cs="Calibri"/>
          <w:b/>
          <w:bCs/>
          <w:color w:val="1F2A44"/>
          <w:sz w:val="30"/>
          <w:szCs w:val="30"/>
        </w:rPr>
        <w:t>A Participatory Approach to Justice and Governance</w:t>
      </w:r>
    </w:p>
    <w:p w14:paraId="6B706BE5" w14:textId="77777777" w:rsidR="00202FEC" w:rsidRDefault="00000000">
      <w:pPr>
        <w:spacing w:after="160"/>
      </w:pPr>
      <w:r>
        <w:rPr>
          <w:rFonts w:ascii="Calibri" w:eastAsia="Calibri" w:hAnsi="Calibri" w:cs="Calibri"/>
          <w:i/>
          <w:iCs/>
          <w:color w:val="595959"/>
          <w:sz w:val="23"/>
          <w:szCs w:val="23"/>
        </w:rPr>
        <w:t>We work directly with civil society, municipalities, and communities — not around them.</w:t>
      </w:r>
    </w:p>
    <w:p w14:paraId="52E81618" w14:textId="77777777" w:rsidR="00202FEC" w:rsidRDefault="00000000">
      <w:pPr>
        <w:spacing w:after="140"/>
      </w:pPr>
      <w:r>
        <w:rPr>
          <w:rFonts w:ascii="Calibri" w:eastAsia="Calibri" w:hAnsi="Calibri" w:cs="Calibri"/>
          <w:color w:val="262626"/>
          <w:sz w:val="22"/>
          <w:szCs w:val="22"/>
        </w:rPr>
        <w:t>SHARP-ER is organised around four connected areas of work:</w:t>
      </w:r>
    </w:p>
    <w:p w14:paraId="2CA471C2"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Capacity Building — </w:t>
      </w:r>
      <w:r>
        <w:rPr>
          <w:rFonts w:ascii="Calibri" w:eastAsia="Calibri" w:hAnsi="Calibri" w:cs="Calibri"/>
          <w:sz w:val="22"/>
          <w:szCs w:val="22"/>
        </w:rPr>
        <w:t>Training civil society organisations and local actors on governance, justice, and management, and equipping the SHARP network with peer-to-peer learning.</w:t>
      </w:r>
    </w:p>
    <w:p w14:paraId="3BACED8D"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Institutional Support — </w:t>
      </w:r>
      <w:r>
        <w:rPr>
          <w:rFonts w:ascii="Calibri" w:eastAsia="Calibri" w:hAnsi="Calibri" w:cs="Calibri"/>
          <w:sz w:val="22"/>
          <w:szCs w:val="22"/>
        </w:rPr>
        <w:t>Strengthening the systems, procedures, and dialogue channels that connect local institutions with the people they serve.</w:t>
      </w:r>
    </w:p>
    <w:p w14:paraId="74221E66"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Community Initiatives — </w:t>
      </w:r>
      <w:r>
        <w:rPr>
          <w:rFonts w:ascii="Calibri" w:eastAsia="Calibri" w:hAnsi="Calibri" w:cs="Calibri"/>
          <w:sz w:val="22"/>
          <w:szCs w:val="22"/>
        </w:rPr>
        <w:t>Funding and supporting CSO-led sub-projects, Policy-to-Rights (P2R) projects, and human-security initiatives designed and driven by local actors.</w:t>
      </w:r>
    </w:p>
    <w:p w14:paraId="5BF529A3"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Dialogue and Coordination — </w:t>
      </w:r>
      <w:r>
        <w:rPr>
          <w:rFonts w:ascii="Calibri" w:eastAsia="Calibri" w:hAnsi="Calibri" w:cs="Calibri"/>
          <w:sz w:val="22"/>
          <w:szCs w:val="22"/>
        </w:rPr>
        <w:t>Running SUQ (Search, Understand, Question) dialogues and Civil Society Law Sessions that bring civic and government actors to the same table.</w:t>
      </w:r>
    </w:p>
    <w:p w14:paraId="674B3259" w14:textId="77777777" w:rsidR="00202FEC" w:rsidRDefault="00000000">
      <w:pPr>
        <w:spacing w:after="140"/>
      </w:pPr>
      <w:r>
        <w:rPr>
          <w:rFonts w:ascii="Calibri" w:eastAsia="Calibri" w:hAnsi="Calibri" w:cs="Calibri"/>
          <w:color w:val="262626"/>
          <w:sz w:val="22"/>
          <w:szCs w:val="22"/>
        </w:rPr>
        <w:t>What guides us: Dialogue · Community Leadership · Learning · Inclusion · Responsibility &amp; Accountability</w:t>
      </w:r>
    </w:p>
    <w:p w14:paraId="4AD75BE5" w14:textId="77777777" w:rsidR="00202FEC" w:rsidRDefault="00000000">
      <w:pPr>
        <w:spacing w:after="140"/>
      </w:pPr>
      <w:r>
        <w:rPr>
          <w:rFonts w:ascii="Calibri" w:eastAsia="Calibri" w:hAnsi="Calibri" w:cs="Calibri"/>
          <w:color w:val="262626"/>
          <w:sz w:val="22"/>
          <w:szCs w:val="22"/>
        </w:rPr>
        <w:t>Our approach rests on four principles: working with local actors, promoting sustainable — not one-off — solutions, connecting civil society with institutions, and supporting gradual, realistic institutional reform.</w:t>
      </w:r>
    </w:p>
    <w:p w14:paraId="42ED38AF" w14:textId="77777777" w:rsidR="00202FEC" w:rsidRDefault="00000000">
      <w:pPr>
        <w:spacing w:before="80" w:after="220"/>
      </w:pPr>
      <w:r>
        <w:rPr>
          <w:rFonts w:ascii="Calibri" w:eastAsia="Calibri" w:hAnsi="Calibri" w:cs="Calibri"/>
          <w:b/>
          <w:bCs/>
          <w:color w:val="1F2A44"/>
          <w:sz w:val="21"/>
          <w:szCs w:val="21"/>
        </w:rPr>
        <w:t>See our activities →</w:t>
      </w:r>
    </w:p>
    <w:p w14:paraId="21A458E8"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38F39320"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نهج تشاركي في العدالة والحوكمة</w:t>
      </w:r>
    </w:p>
    <w:p w14:paraId="735FFA1B"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نعمل مباشرة مع المجتمع المدني والبلديات والمجتمعات المحلية، لا من حولها.</w:t>
      </w:r>
    </w:p>
    <w:p w14:paraId="440AC296" w14:textId="77777777" w:rsidR="00202FEC" w:rsidRDefault="00000000">
      <w:pPr>
        <w:bidi/>
        <w:spacing w:after="140"/>
        <w:jc w:val="right"/>
      </w:pPr>
      <w:r>
        <w:rPr>
          <w:rFonts w:ascii="Traditional Arabic" w:eastAsia="Traditional Arabic" w:hAnsi="Traditional Arabic" w:cs="Traditional Arabic"/>
          <w:color w:val="262626"/>
          <w:sz w:val="24"/>
          <w:szCs w:val="24"/>
          <w:rtl/>
        </w:rPr>
        <w:t>يقوم عمل SHARP-ER على أربعة محاور مترابطة:</w:t>
      </w:r>
    </w:p>
    <w:p w14:paraId="6BD7DA2B"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تدريب منظمات المجتمع المدني والجهات المحلية على الحوكمة والعدالة والإدارة، وتزويد شبكة SHARP بالتعلّم بين الأقران. — </w:t>
      </w:r>
      <w:r>
        <w:rPr>
          <w:rFonts w:ascii="Traditional Arabic" w:eastAsia="Traditional Arabic" w:hAnsi="Traditional Arabic" w:cs="Traditional Arabic"/>
          <w:b/>
          <w:bCs/>
          <w:color w:val="1F2A44"/>
          <w:sz w:val="22"/>
          <w:szCs w:val="22"/>
          <w:rtl/>
        </w:rPr>
        <w:t>بناء القدرات</w:t>
      </w:r>
    </w:p>
    <w:p w14:paraId="52D9901E"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تعزيز الأنظمة والإجراءات وقنوات الحوار التي تربط المؤسسات المحلية بالمجتمعات التي تخدمها. — </w:t>
      </w:r>
      <w:r>
        <w:rPr>
          <w:rFonts w:ascii="Traditional Arabic" w:eastAsia="Traditional Arabic" w:hAnsi="Traditional Arabic" w:cs="Traditional Arabic"/>
          <w:b/>
          <w:bCs/>
          <w:color w:val="1F2A44"/>
          <w:sz w:val="22"/>
          <w:szCs w:val="22"/>
          <w:rtl/>
        </w:rPr>
        <w:t>الدعم المؤسسي</w:t>
      </w:r>
    </w:p>
    <w:p w14:paraId="7F7AA955"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تمويل ودعم مشاريع فرعية تقودها منظمات المجتمع المدني، ومشاريع “من السياسة إلى الحقوق” (P2R)، ومبادرات الأمن البشري التي يصممها الفاعلون المحليون ويقودونها. — </w:t>
      </w:r>
      <w:r>
        <w:rPr>
          <w:rFonts w:ascii="Traditional Arabic" w:eastAsia="Traditional Arabic" w:hAnsi="Traditional Arabic" w:cs="Traditional Arabic"/>
          <w:b/>
          <w:bCs/>
          <w:color w:val="1F2A44"/>
          <w:sz w:val="22"/>
          <w:szCs w:val="22"/>
          <w:rtl/>
        </w:rPr>
        <w:t>المبادرات المجتمعية</w:t>
      </w:r>
    </w:p>
    <w:p w14:paraId="1FBF2B4D"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تنظيم حوارات SUQ (ابحث، افهم، اسأل) وجلسات قانون المجتمع المدني التي تجمع الفاعلين المدنيين والحكوميين حول طاولة واحدة. — </w:t>
      </w:r>
      <w:r>
        <w:rPr>
          <w:rFonts w:ascii="Traditional Arabic" w:eastAsia="Traditional Arabic" w:hAnsi="Traditional Arabic" w:cs="Traditional Arabic"/>
          <w:b/>
          <w:bCs/>
          <w:color w:val="1F2A44"/>
          <w:sz w:val="22"/>
          <w:szCs w:val="22"/>
          <w:rtl/>
        </w:rPr>
        <w:t>الحوار والتنسيق</w:t>
      </w:r>
    </w:p>
    <w:p w14:paraId="03ECE166" w14:textId="77777777" w:rsidR="00202FEC" w:rsidRDefault="00000000">
      <w:pPr>
        <w:bidi/>
        <w:spacing w:after="140"/>
        <w:jc w:val="right"/>
      </w:pPr>
      <w:r>
        <w:rPr>
          <w:rFonts w:ascii="Traditional Arabic" w:eastAsia="Traditional Arabic" w:hAnsi="Traditional Arabic" w:cs="Traditional Arabic"/>
          <w:color w:val="262626"/>
          <w:sz w:val="24"/>
          <w:szCs w:val="24"/>
          <w:rtl/>
        </w:rPr>
        <w:t>ما يوجّه عملنا: الحوار · القيادة المجتمعية · التعلّم · الشمول · المساءلة والمسؤولية</w:t>
      </w:r>
    </w:p>
    <w:p w14:paraId="318FB0EA" w14:textId="77777777" w:rsidR="00202FEC" w:rsidRDefault="00000000">
      <w:pPr>
        <w:bidi/>
        <w:spacing w:after="140"/>
        <w:jc w:val="right"/>
      </w:pPr>
      <w:r>
        <w:rPr>
          <w:rFonts w:ascii="Traditional Arabic" w:eastAsia="Traditional Arabic" w:hAnsi="Traditional Arabic" w:cs="Traditional Arabic"/>
          <w:color w:val="262626"/>
          <w:sz w:val="24"/>
          <w:szCs w:val="24"/>
          <w:rtl/>
        </w:rPr>
        <w:t>يسترشد عملنا بأربعة مبادئ: العمل مع الفاعلين المحليين، وتعزيز الحلول المستدامة لا الآنية، والربط بين المجتمع المدني والمؤسسات، ودعم إصلاح مؤسسي تدريجي وواقعي.</w:t>
      </w:r>
    </w:p>
    <w:p w14:paraId="7082D6F3" w14:textId="77777777" w:rsidR="00202FEC" w:rsidRDefault="00000000">
      <w:pPr>
        <w:bidi/>
        <w:spacing w:before="80" w:after="220"/>
        <w:jc w:val="right"/>
      </w:pPr>
      <w:r>
        <w:rPr>
          <w:rFonts w:ascii="Traditional Arabic" w:eastAsia="Traditional Arabic" w:hAnsi="Traditional Arabic" w:cs="Traditional Arabic"/>
          <w:b/>
          <w:bCs/>
          <w:color w:val="1F2A44"/>
          <w:sz w:val="21"/>
          <w:szCs w:val="21"/>
          <w:rtl/>
        </w:rPr>
        <w:t>اطّلع على أنشطتنا ←</w:t>
      </w:r>
    </w:p>
    <w:p w14:paraId="667D0F3A" w14:textId="77777777" w:rsidR="00202FEC" w:rsidRDefault="00000000">
      <w:pPr>
        <w:pageBreakBefore/>
        <w:spacing w:after="40"/>
      </w:pPr>
      <w:r>
        <w:rPr>
          <w:rFonts w:ascii="Calibri" w:eastAsia="Calibri" w:hAnsi="Calibri" w:cs="Calibri"/>
          <w:b/>
          <w:bCs/>
          <w:color w:val="1F2A44"/>
          <w:sz w:val="34"/>
          <w:szCs w:val="34"/>
        </w:rPr>
        <w:lastRenderedPageBreak/>
        <w:t>3. Activities and Initiatives</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الأنشطة والمبادرات</w:t>
      </w:r>
    </w:p>
    <w:p w14:paraId="250FBF4C"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682A89AB" w14:textId="77777777" w:rsidR="00202FEC" w:rsidRDefault="00000000">
      <w:pPr>
        <w:spacing w:before="60" w:after="80"/>
      </w:pPr>
      <w:r>
        <w:rPr>
          <w:rFonts w:ascii="Calibri" w:eastAsia="Calibri" w:hAnsi="Calibri" w:cs="Calibri"/>
          <w:b/>
          <w:bCs/>
          <w:color w:val="1F2A44"/>
          <w:sz w:val="30"/>
          <w:szCs w:val="30"/>
        </w:rPr>
        <w:t>What's Happening Across the SHARP-ER Network</w:t>
      </w:r>
    </w:p>
    <w:p w14:paraId="42F054C4" w14:textId="77777777" w:rsidR="00202FEC" w:rsidRDefault="00000000">
      <w:pPr>
        <w:spacing w:after="160"/>
      </w:pPr>
      <w:r>
        <w:rPr>
          <w:rFonts w:ascii="Calibri" w:eastAsia="Calibri" w:hAnsi="Calibri" w:cs="Calibri"/>
          <w:i/>
          <w:iCs/>
          <w:color w:val="595959"/>
          <w:sz w:val="23"/>
          <w:szCs w:val="23"/>
        </w:rPr>
        <w:t>From regional network meetings to nationwide dialogues — here's where the project stands today.</w:t>
      </w:r>
    </w:p>
    <w:p w14:paraId="18F0AF68"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The SHARP Network — </w:t>
      </w:r>
      <w:r>
        <w:rPr>
          <w:rFonts w:ascii="Calibri" w:eastAsia="Calibri" w:hAnsi="Calibri" w:cs="Calibri"/>
          <w:sz w:val="22"/>
          <w:szCs w:val="22"/>
        </w:rPr>
        <w:t>Regional meetings, international events, and peer-to-peer learning that keep the civil society network connected. Implementing partner: UEC.</w:t>
      </w:r>
    </w:p>
    <w:p w14:paraId="6485F834"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CSO Sub-Projects &amp; Policy-to-Rights — </w:t>
      </w:r>
      <w:r>
        <w:rPr>
          <w:rFonts w:ascii="Calibri" w:eastAsia="Calibri" w:hAnsi="Calibri" w:cs="Calibri"/>
          <w:sz w:val="22"/>
          <w:szCs w:val="22"/>
        </w:rPr>
        <w:t>Collective sub-projects selected through open Calls for Expression of Interest, fostering cross-country cooperation, plus Policy-to-Rights (P2R) projects. Implementing partner: Acted.</w:t>
      </w:r>
    </w:p>
    <w:p w14:paraId="028FD16A"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SUQ Dialogues &amp; Civil Society Law Sessions — </w:t>
      </w:r>
      <w:r>
        <w:rPr>
          <w:rFonts w:ascii="Calibri" w:eastAsia="Calibri" w:hAnsi="Calibri" w:cs="Calibri"/>
          <w:sz w:val="22"/>
          <w:szCs w:val="22"/>
        </w:rPr>
        <w:t>Search, Understand, Question (SUQ) dialogues driven by local needs, dialogue-facilitation training, and joint sessions with the Commission on Civil Society (CCS). Implementing partners: UEC / Acted.</w:t>
      </w:r>
    </w:p>
    <w:p w14:paraId="62617FE9"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Human Security Initiatives — </w:t>
      </w:r>
      <w:r>
        <w:rPr>
          <w:rFonts w:ascii="Calibri" w:eastAsia="Calibri" w:hAnsi="Calibri" w:cs="Calibri"/>
          <w:sz w:val="22"/>
          <w:szCs w:val="22"/>
        </w:rPr>
        <w:t>16 individual sub-projects designed to foster human security at the community level. Implementing partner: UEC.</w:t>
      </w:r>
    </w:p>
    <w:p w14:paraId="5174F486"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Research &amp; Perception Data — </w:t>
      </w:r>
      <w:r>
        <w:rPr>
          <w:rFonts w:ascii="Calibri" w:eastAsia="Calibri" w:hAnsi="Calibri" w:cs="Calibri"/>
          <w:sz w:val="22"/>
          <w:szCs w:val="22"/>
        </w:rPr>
        <w:t>Nationwide perception-based data collection, analysis, and dissemination. Implementing partner: SBE.</w:t>
      </w:r>
    </w:p>
    <w:p w14:paraId="0ED59239" w14:textId="77777777" w:rsidR="00202FEC" w:rsidRDefault="00000000">
      <w:pPr>
        <w:spacing w:after="140"/>
      </w:pPr>
      <w:r>
        <w:rPr>
          <w:rFonts w:ascii="Calibri" w:eastAsia="Calibri" w:hAnsi="Calibri" w:cs="Calibri"/>
          <w:color w:val="262626"/>
          <w:sz w:val="22"/>
          <w:szCs w:val="22"/>
        </w:rPr>
        <w:t>[XX+] activities completed · [XX+] CSOs engaged · [X] regions covered — placeholder only: these figures are marked “TBD” in the official fact sheet and must not be published until confirmed.</w:t>
      </w:r>
    </w:p>
    <w:p w14:paraId="32574A82" w14:textId="77777777" w:rsidR="00202FEC" w:rsidRDefault="00000000">
      <w:pPr>
        <w:spacing w:before="80" w:after="220"/>
      </w:pPr>
      <w:r>
        <w:rPr>
          <w:rFonts w:ascii="Calibri" w:eastAsia="Calibri" w:hAnsi="Calibri" w:cs="Calibri"/>
          <w:b/>
          <w:bCs/>
          <w:color w:val="1F2A44"/>
          <w:sz w:val="21"/>
          <w:szCs w:val="21"/>
        </w:rPr>
        <w:t>View details →</w:t>
      </w:r>
    </w:p>
    <w:p w14:paraId="59D220BC"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6D3EBF62"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ماذا يحدث عبر شبكة SHARP-ER</w:t>
      </w:r>
    </w:p>
    <w:p w14:paraId="1B4112CE"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من اجتماعات الشبكة الإقليمية إلى الحوارات الوطنية، إليكم أين وصل المشروع اليوم.</w:t>
      </w:r>
    </w:p>
    <w:p w14:paraId="2A7B3A96"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اجتماعات إقليمية وفعاليات دولية وتعلّم بين الأقران تُبقي شبكة المجتمع المدني على تواصل. الشريك المنفّذ: UEC. — </w:t>
      </w:r>
      <w:r>
        <w:rPr>
          <w:rFonts w:ascii="Traditional Arabic" w:eastAsia="Traditional Arabic" w:hAnsi="Traditional Arabic" w:cs="Traditional Arabic"/>
          <w:b/>
          <w:bCs/>
          <w:color w:val="1F2A44"/>
          <w:sz w:val="22"/>
          <w:szCs w:val="22"/>
          <w:rtl/>
        </w:rPr>
        <w:t>شبكة SHARP</w:t>
      </w:r>
    </w:p>
    <w:p w14:paraId="5483467C"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مشاريع فرعية جماعية تُختار عبر دعوات مفتوحة للتعبير عن الاهتمام لتعزيز التعاون العابر للمناطق، إضافة إلى مشاريع “من السياسة إلى الحقوق”. الشريك المنفّذ: </w:t>
      </w:r>
      <w:proofErr w:type="spellStart"/>
      <w:r>
        <w:rPr>
          <w:rFonts w:ascii="Traditional Arabic" w:eastAsia="Traditional Arabic" w:hAnsi="Traditional Arabic" w:cs="Traditional Arabic"/>
          <w:sz w:val="22"/>
          <w:szCs w:val="22"/>
          <w:rtl/>
        </w:rPr>
        <w:t>Acted</w:t>
      </w:r>
      <w:proofErr w:type="spellEnd"/>
      <w:r>
        <w:rPr>
          <w:rFonts w:ascii="Traditional Arabic" w:eastAsia="Traditional Arabic" w:hAnsi="Traditional Arabic" w:cs="Traditional Arabic"/>
          <w:sz w:val="22"/>
          <w:szCs w:val="22"/>
          <w:rtl/>
        </w:rPr>
        <w:t xml:space="preserve">. — </w:t>
      </w:r>
      <w:r>
        <w:rPr>
          <w:rFonts w:ascii="Traditional Arabic" w:eastAsia="Traditional Arabic" w:hAnsi="Traditional Arabic" w:cs="Traditional Arabic"/>
          <w:b/>
          <w:bCs/>
          <w:color w:val="1F2A44"/>
          <w:sz w:val="22"/>
          <w:szCs w:val="22"/>
          <w:rtl/>
        </w:rPr>
        <w:t>المشاريع الفرعية لمنظمات المجتمع المدني ومشاريع P2R</w:t>
      </w:r>
    </w:p>
    <w:p w14:paraId="4B33F384"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حوارات “ابحث، افهم، اسأل” (SUQ) مدفوعة باحتياجات محلية، وتدريب على تيسير الحوار، وجلسات مشتركة مع لجنة المجتمع المدني (CCS). الشريكان المنفّذان: UEC </w:t>
      </w:r>
      <w:proofErr w:type="spellStart"/>
      <w:r>
        <w:rPr>
          <w:rFonts w:ascii="Traditional Arabic" w:eastAsia="Traditional Arabic" w:hAnsi="Traditional Arabic" w:cs="Traditional Arabic"/>
          <w:sz w:val="22"/>
          <w:szCs w:val="22"/>
          <w:rtl/>
        </w:rPr>
        <w:t>وActed</w:t>
      </w:r>
      <w:proofErr w:type="spellEnd"/>
      <w:r>
        <w:rPr>
          <w:rFonts w:ascii="Traditional Arabic" w:eastAsia="Traditional Arabic" w:hAnsi="Traditional Arabic" w:cs="Traditional Arabic"/>
          <w:sz w:val="22"/>
          <w:szCs w:val="22"/>
          <w:rtl/>
        </w:rPr>
        <w:t xml:space="preserve">. — </w:t>
      </w:r>
      <w:r>
        <w:rPr>
          <w:rFonts w:ascii="Traditional Arabic" w:eastAsia="Traditional Arabic" w:hAnsi="Traditional Arabic" w:cs="Traditional Arabic"/>
          <w:b/>
          <w:bCs/>
          <w:color w:val="1F2A44"/>
          <w:sz w:val="22"/>
          <w:szCs w:val="22"/>
          <w:rtl/>
        </w:rPr>
        <w:t>حوارات SUQ وجلسات قانون المجتمع المدني</w:t>
      </w:r>
    </w:p>
    <w:p w14:paraId="2311DB15"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16 مشروعًا فرديًا فرعيًا مصمَّمًا لتعزيز الأمن البشري على المستوى المجتمعي. الشريك المنفّذ: UEC. — </w:t>
      </w:r>
      <w:r>
        <w:rPr>
          <w:rFonts w:ascii="Traditional Arabic" w:eastAsia="Traditional Arabic" w:hAnsi="Traditional Arabic" w:cs="Traditional Arabic"/>
          <w:b/>
          <w:bCs/>
          <w:color w:val="1F2A44"/>
          <w:sz w:val="22"/>
          <w:szCs w:val="22"/>
          <w:rtl/>
        </w:rPr>
        <w:t>مبادرات الأمن البشري</w:t>
      </w:r>
    </w:p>
    <w:p w14:paraId="7F0E7D15"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جمع بيانات استطلاعية على المستوى الوطني وتحليلها ونشرها. الشريك المنفّذ: SBE. — </w:t>
      </w:r>
      <w:r>
        <w:rPr>
          <w:rFonts w:ascii="Traditional Arabic" w:eastAsia="Traditional Arabic" w:hAnsi="Traditional Arabic" w:cs="Traditional Arabic"/>
          <w:b/>
          <w:bCs/>
          <w:color w:val="1F2A44"/>
          <w:sz w:val="22"/>
          <w:szCs w:val="22"/>
          <w:rtl/>
        </w:rPr>
        <w:t>البحث وبيانات الاستطلاع</w:t>
      </w:r>
    </w:p>
    <w:p w14:paraId="69E18144" w14:textId="77777777" w:rsidR="00202FEC" w:rsidRDefault="00000000">
      <w:pPr>
        <w:bidi/>
        <w:spacing w:after="140"/>
        <w:jc w:val="right"/>
      </w:pPr>
      <w:r>
        <w:rPr>
          <w:rFonts w:ascii="Traditional Arabic" w:eastAsia="Traditional Arabic" w:hAnsi="Traditional Arabic" w:cs="Traditional Arabic"/>
          <w:color w:val="262626"/>
          <w:sz w:val="24"/>
          <w:szCs w:val="24"/>
          <w:rtl/>
        </w:rPr>
        <w:t>[+XX] نشاط منجَز · [+XX] منظمة مجتمع مدني مشاركة · [X] مناطق مشمولة — للتوضيح فقط: هذه الأرقام غير مؤكدة بعد في ورقة الحقائق الرسمية ولا يجب نشرها قبل تثبيتها.</w:t>
      </w:r>
    </w:p>
    <w:p w14:paraId="0B290A76" w14:textId="77777777" w:rsidR="00202FEC" w:rsidRDefault="00000000">
      <w:pPr>
        <w:bidi/>
        <w:spacing w:before="80" w:after="220"/>
        <w:jc w:val="right"/>
      </w:pPr>
      <w:r>
        <w:rPr>
          <w:rFonts w:ascii="Traditional Arabic" w:eastAsia="Traditional Arabic" w:hAnsi="Traditional Arabic" w:cs="Traditional Arabic"/>
          <w:b/>
          <w:bCs/>
          <w:color w:val="1F2A44"/>
          <w:sz w:val="21"/>
          <w:szCs w:val="21"/>
          <w:rtl/>
        </w:rPr>
        <w:t>عرض التفاصيل ←</w:t>
      </w:r>
    </w:p>
    <w:p w14:paraId="408314E7" w14:textId="77777777" w:rsidR="00202FEC" w:rsidRDefault="00000000">
      <w:pPr>
        <w:pageBreakBefore/>
        <w:spacing w:after="40"/>
      </w:pPr>
      <w:r>
        <w:rPr>
          <w:rFonts w:ascii="Calibri" w:eastAsia="Calibri" w:hAnsi="Calibri" w:cs="Calibri"/>
          <w:b/>
          <w:bCs/>
          <w:color w:val="1F2A44"/>
          <w:sz w:val="34"/>
          <w:szCs w:val="34"/>
        </w:rPr>
        <w:lastRenderedPageBreak/>
        <w:t>4. Events Calendar</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التقويم الزمني للفعاليات</w:t>
      </w:r>
    </w:p>
    <w:p w14:paraId="5F5957CD"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018A4E22" w14:textId="77777777" w:rsidR="00202FEC" w:rsidRDefault="00000000">
      <w:pPr>
        <w:spacing w:before="60" w:after="80"/>
      </w:pPr>
      <w:r>
        <w:rPr>
          <w:rFonts w:ascii="Calibri" w:eastAsia="Calibri" w:hAnsi="Calibri" w:cs="Calibri"/>
          <w:b/>
          <w:bCs/>
          <w:color w:val="1F2A44"/>
          <w:sz w:val="30"/>
          <w:szCs w:val="30"/>
        </w:rPr>
        <w:t>Upcoming Events</w:t>
      </w:r>
    </w:p>
    <w:p w14:paraId="31E42F17" w14:textId="77777777" w:rsidR="00202FEC" w:rsidRDefault="00000000">
      <w:pPr>
        <w:spacing w:after="160"/>
      </w:pPr>
      <w:r>
        <w:rPr>
          <w:rFonts w:ascii="Calibri" w:eastAsia="Calibri" w:hAnsi="Calibri" w:cs="Calibri"/>
          <w:i/>
          <w:iCs/>
          <w:color w:val="595959"/>
          <w:sz w:val="23"/>
          <w:szCs w:val="23"/>
        </w:rPr>
        <w:t>Register for a SUQ dialogue, join a training, or track what's coming next across Libya.</w:t>
      </w:r>
    </w:p>
    <w:p w14:paraId="19EF5CCD" w14:textId="77777777" w:rsidR="00202FEC" w:rsidRDefault="00000000">
      <w:pPr>
        <w:spacing w:after="140"/>
      </w:pPr>
      <w:r>
        <w:rPr>
          <w:rFonts w:ascii="Calibri" w:eastAsia="Calibri" w:hAnsi="Calibri" w:cs="Calibri"/>
          <w:color w:val="262626"/>
          <w:sz w:val="22"/>
          <w:szCs w:val="22"/>
        </w:rPr>
        <w:t>Filter tabs: All · Upcoming · Ongoing · Completed · [Region filter placeholder]</w:t>
      </w:r>
    </w:p>
    <w:p w14:paraId="0EC7E27B" w14:textId="77777777" w:rsidR="00202FEC" w:rsidRDefault="00000000">
      <w:pPr>
        <w:spacing w:after="140"/>
      </w:pPr>
      <w:r>
        <w:rPr>
          <w:rFonts w:ascii="Calibri" w:eastAsia="Calibri" w:hAnsi="Calibri" w:cs="Calibri"/>
          <w:color w:val="262626"/>
          <w:sz w:val="22"/>
          <w:szCs w:val="22"/>
        </w:rPr>
        <w:t>Card fields: event title · date &amp; time · format/location (in-person city or online) · registration status (Open / Closed / Full) · call-to-action button (Register / Apply / Learn more).</w:t>
      </w:r>
    </w:p>
    <w:p w14:paraId="254834C8"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Sample card 1 — </w:t>
      </w:r>
      <w:r>
        <w:rPr>
          <w:rFonts w:ascii="Calibri" w:eastAsia="Calibri" w:hAnsi="Calibri" w:cs="Calibri"/>
          <w:sz w:val="22"/>
          <w:szCs w:val="22"/>
        </w:rPr>
        <w:t>[Event name] SUQ Dialogue — [City], Libya | [Date] | Status: Open — Register →</w:t>
      </w:r>
    </w:p>
    <w:p w14:paraId="5E1D9F4E"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Sample card 2 — </w:t>
      </w:r>
      <w:r>
        <w:rPr>
          <w:rFonts w:ascii="Calibri" w:eastAsia="Calibri" w:hAnsi="Calibri" w:cs="Calibri"/>
          <w:sz w:val="22"/>
          <w:szCs w:val="22"/>
        </w:rPr>
        <w:t>[Event name] Dialogue Facilitation Training | Online | [Date] | Status: Upcoming — Apply →</w:t>
      </w:r>
    </w:p>
    <w:p w14:paraId="31754FD6"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Sample card 3 — </w:t>
      </w:r>
      <w:r>
        <w:rPr>
          <w:rFonts w:ascii="Calibri" w:eastAsia="Calibri" w:hAnsi="Calibri" w:cs="Calibri"/>
          <w:sz w:val="22"/>
          <w:szCs w:val="22"/>
        </w:rPr>
        <w:t>Civil Society Law Session with the CCS | [City], Libya | [Date] | Status: Completed — Read recap →</w:t>
      </w:r>
    </w:p>
    <w:p w14:paraId="7C849476" w14:textId="77777777" w:rsidR="00202FEC" w:rsidRDefault="00000000">
      <w:pPr>
        <w:spacing w:after="140"/>
      </w:pPr>
      <w:r>
        <w:rPr>
          <w:rFonts w:ascii="Calibri" w:eastAsia="Calibri" w:hAnsi="Calibri" w:cs="Calibri"/>
          <w:color w:val="262626"/>
          <w:sz w:val="22"/>
          <w:szCs w:val="22"/>
        </w:rPr>
        <w:t>Confirmation screen (after registration) — headline: “You're registered.” Body: “Thank you — your spot for [Event name] on [Date] is confirmed. We'll send a reminder and any joining details to the email you provided.”</w:t>
      </w:r>
    </w:p>
    <w:p w14:paraId="05407D43" w14:textId="77777777" w:rsidR="00202FEC" w:rsidRDefault="00000000">
      <w:pPr>
        <w:spacing w:after="140"/>
      </w:pPr>
      <w:r>
        <w:rPr>
          <w:rFonts w:ascii="Calibri" w:eastAsia="Calibri" w:hAnsi="Calibri" w:cs="Calibri"/>
          <w:color w:val="262626"/>
          <w:sz w:val="22"/>
          <w:szCs w:val="22"/>
        </w:rPr>
        <w:t>Confirmation email — subject: “Your SHARP-ER registration is confirmed.” Body: “Hello [Name], thank you for registering for [Event name] on [Date] in [Location]. [Details / what to bring / link]. Questions? Contact us at [project email].”</w:t>
      </w:r>
    </w:p>
    <w:p w14:paraId="161239B3"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543C5102"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الفعاليات القادمة</w:t>
      </w:r>
    </w:p>
    <w:p w14:paraId="28FC906C"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سجّل في حوار SUQ، أو انضم إلى تدريب، أو تابع ما هو قادم في مختلف أنحاء ليبيا.</w:t>
      </w:r>
    </w:p>
    <w:p w14:paraId="7C3D38C7" w14:textId="77777777" w:rsidR="00202FEC" w:rsidRDefault="00000000">
      <w:pPr>
        <w:bidi/>
        <w:spacing w:after="140"/>
        <w:jc w:val="right"/>
      </w:pPr>
      <w:r>
        <w:rPr>
          <w:rFonts w:ascii="Traditional Arabic" w:eastAsia="Traditional Arabic" w:hAnsi="Traditional Arabic" w:cs="Traditional Arabic"/>
          <w:color w:val="262626"/>
          <w:sz w:val="24"/>
          <w:szCs w:val="24"/>
          <w:rtl/>
        </w:rPr>
        <w:t>علامات التصفية: الكل · القادمة · جارية · منتهية · [تصفية حسب المنطقة]</w:t>
      </w:r>
    </w:p>
    <w:p w14:paraId="53B81750" w14:textId="77777777" w:rsidR="00202FEC" w:rsidRDefault="00000000">
      <w:pPr>
        <w:bidi/>
        <w:spacing w:after="140"/>
        <w:jc w:val="right"/>
      </w:pPr>
      <w:r>
        <w:rPr>
          <w:rFonts w:ascii="Traditional Arabic" w:eastAsia="Traditional Arabic" w:hAnsi="Traditional Arabic" w:cs="Traditional Arabic"/>
          <w:color w:val="262626"/>
          <w:sz w:val="24"/>
          <w:szCs w:val="24"/>
          <w:rtl/>
        </w:rPr>
        <w:t>حقول بطاقة الفعالية: عنوان الفعالية · التاريخ والوقت · الصيغة/الموقع (حضوري في مدينة أو عبر الإنترنت) · حالة التسجيل (مفتوح / مغلق / مكتمل) · زر الإجراء (تسجيل / تقديم طلب / اعرف المزيد).</w:t>
      </w:r>
    </w:p>
    <w:p w14:paraId="58633CFD"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[اسم الفعالية] حوار SUQ — [المدينة]، ليبيا | [التاريخ] | الحالة: مفتوح — سجّل الآن ← — </w:t>
      </w:r>
      <w:r>
        <w:rPr>
          <w:rFonts w:ascii="Traditional Arabic" w:eastAsia="Traditional Arabic" w:hAnsi="Traditional Arabic" w:cs="Traditional Arabic"/>
          <w:b/>
          <w:bCs/>
          <w:color w:val="1F2A44"/>
          <w:sz w:val="22"/>
          <w:szCs w:val="22"/>
          <w:rtl/>
        </w:rPr>
        <w:t>نموذج بطاقة 1</w:t>
      </w:r>
    </w:p>
    <w:p w14:paraId="7227A972"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[اسم الفعالية] تدريب على تيسير الحوار | عبر الإنترنت | [التاريخ] | الحالة: قادمة — قدّم طلبك ← — </w:t>
      </w:r>
      <w:r>
        <w:rPr>
          <w:rFonts w:ascii="Traditional Arabic" w:eastAsia="Traditional Arabic" w:hAnsi="Traditional Arabic" w:cs="Traditional Arabic"/>
          <w:b/>
          <w:bCs/>
          <w:color w:val="1F2A44"/>
          <w:sz w:val="22"/>
          <w:szCs w:val="22"/>
          <w:rtl/>
        </w:rPr>
        <w:t>نموذج بطاقة 2</w:t>
      </w:r>
    </w:p>
    <w:p w14:paraId="769C7E0F"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جلسة قانون المجتمع المدني مع لجنة المجتمع المدني | [المدينة]، ليبيا | [التاريخ] | الحالة: منتهية — اقرأ الملخص ← — </w:t>
      </w:r>
      <w:r>
        <w:rPr>
          <w:rFonts w:ascii="Traditional Arabic" w:eastAsia="Traditional Arabic" w:hAnsi="Traditional Arabic" w:cs="Traditional Arabic"/>
          <w:b/>
          <w:bCs/>
          <w:color w:val="1F2A44"/>
          <w:sz w:val="22"/>
          <w:szCs w:val="22"/>
          <w:rtl/>
        </w:rPr>
        <w:t>نموذج بطاقة 3</w:t>
      </w:r>
    </w:p>
    <w:p w14:paraId="6C9D0B32" w14:textId="77777777" w:rsidR="00202FEC" w:rsidRDefault="00000000">
      <w:pPr>
        <w:bidi/>
        <w:spacing w:after="140"/>
        <w:jc w:val="right"/>
      </w:pPr>
      <w:r>
        <w:rPr>
          <w:rFonts w:ascii="Traditional Arabic" w:eastAsia="Traditional Arabic" w:hAnsi="Traditional Arabic" w:cs="Traditional Arabic"/>
          <w:color w:val="262626"/>
          <w:sz w:val="24"/>
          <w:szCs w:val="24"/>
          <w:rtl/>
        </w:rPr>
        <w:t>شاشة التأكيد (بعد التسجيل) — العنوان: “تم تسجيلك بنجاح”. النص: “شكرًا لك — تم تأكيد مكانك في [اسم الفعالية] بتاريخ [التاريخ]. سنرسل لك تذكيرًا وأي تفاصيل إضافية على البريد الإلكتروني الذي قدّمته.”</w:t>
      </w:r>
    </w:p>
    <w:p w14:paraId="5FC35FD8" w14:textId="77777777" w:rsidR="00202FEC" w:rsidRDefault="00000000">
      <w:pPr>
        <w:bidi/>
        <w:spacing w:after="140"/>
        <w:jc w:val="right"/>
      </w:pPr>
      <w:r>
        <w:rPr>
          <w:rFonts w:ascii="Traditional Arabic" w:eastAsia="Traditional Arabic" w:hAnsi="Traditional Arabic" w:cs="Traditional Arabic"/>
          <w:color w:val="262626"/>
          <w:sz w:val="24"/>
          <w:szCs w:val="24"/>
          <w:rtl/>
        </w:rPr>
        <w:t>بريد التأكيد الإلكتروني — الموضوع: “تم تأكيد تسجيلك في SHARP-ER”. النص: “مرحبًا [الاسم]، شكرًا لتسجيلك في [اسم الفعالية] بتاريخ [التاريخ] في [الموقع]. [تفاصيل إضافية]. لأي استفسار، تواصل معنا على [البريد الإلكتروني للمشروع].”</w:t>
      </w:r>
    </w:p>
    <w:p w14:paraId="6540C3D9" w14:textId="77777777" w:rsidR="00202FEC" w:rsidRDefault="00000000">
      <w:pPr>
        <w:pageBreakBefore/>
        <w:spacing w:after="40"/>
      </w:pPr>
      <w:r>
        <w:rPr>
          <w:rFonts w:ascii="Calibri" w:eastAsia="Calibri" w:hAnsi="Calibri" w:cs="Calibri"/>
          <w:b/>
          <w:bCs/>
          <w:color w:val="1F2A44"/>
          <w:sz w:val="34"/>
          <w:szCs w:val="34"/>
        </w:rPr>
        <w:lastRenderedPageBreak/>
        <w:t>5. News and Updates</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الأخبار والمستجدات</w:t>
      </w:r>
    </w:p>
    <w:p w14:paraId="063D1871"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70DF5342" w14:textId="77777777" w:rsidR="00202FEC" w:rsidRDefault="00000000">
      <w:pPr>
        <w:spacing w:before="60" w:after="80"/>
      </w:pPr>
      <w:r>
        <w:rPr>
          <w:rFonts w:ascii="Calibri" w:eastAsia="Calibri" w:hAnsi="Calibri" w:cs="Calibri"/>
          <w:b/>
          <w:bCs/>
          <w:color w:val="1F2A44"/>
          <w:sz w:val="30"/>
          <w:szCs w:val="30"/>
        </w:rPr>
        <w:t>News from SHARP-ER and the Network</w:t>
      </w:r>
    </w:p>
    <w:p w14:paraId="4289F6C3" w14:textId="77777777" w:rsidR="00202FEC" w:rsidRDefault="00000000">
      <w:pPr>
        <w:spacing w:after="160"/>
      </w:pPr>
      <w:r>
        <w:rPr>
          <w:rFonts w:ascii="Calibri" w:eastAsia="Calibri" w:hAnsi="Calibri" w:cs="Calibri"/>
          <w:i/>
          <w:iCs/>
          <w:color w:val="595959"/>
          <w:sz w:val="23"/>
          <w:szCs w:val="23"/>
        </w:rPr>
        <w:t>Milestones from the project team, and updates from the civil society organisations we work with.</w:t>
      </w:r>
    </w:p>
    <w:p w14:paraId="41CC6896"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Tab 1 — SHARP-ER News — </w:t>
      </w:r>
      <w:r>
        <w:rPr>
          <w:rFonts w:ascii="Calibri" w:eastAsia="Calibri" w:hAnsi="Calibri" w:cs="Calibri"/>
          <w:sz w:val="22"/>
          <w:szCs w:val="22"/>
        </w:rPr>
        <w:t>Official updates on milestones, campaign launches, publications, and events. Sample headline: “[Milestone] — SHARP-ER Marks [X] Months of Nationwide Dialogue.”</w:t>
      </w:r>
    </w:p>
    <w:p w14:paraId="59D522D9"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Tab 2 — From the Network — </w:t>
      </w:r>
      <w:r>
        <w:rPr>
          <w:rFonts w:ascii="Calibri" w:eastAsia="Calibri" w:hAnsi="Calibri" w:cs="Calibri"/>
          <w:sz w:val="22"/>
          <w:szCs w:val="22"/>
        </w:rPr>
        <w:t>Updates submitted by CSOs granted as part of the consortium, each card crediting the organisation. Sample headline: “[CSO Name] Completes Its First Community Sub-Project in [City].”</w:t>
      </w:r>
    </w:p>
    <w:p w14:paraId="60A6CF4C" w14:textId="77777777" w:rsidR="00202FEC" w:rsidRDefault="00000000">
      <w:pPr>
        <w:spacing w:before="80" w:after="220"/>
      </w:pPr>
      <w:r>
        <w:rPr>
          <w:rFonts w:ascii="Calibri" w:eastAsia="Calibri" w:hAnsi="Calibri" w:cs="Calibri"/>
          <w:b/>
          <w:bCs/>
          <w:color w:val="1F2A44"/>
          <w:sz w:val="21"/>
          <w:szCs w:val="21"/>
        </w:rPr>
        <w:t>Are you a partner organisation? Submit your update →</w:t>
      </w:r>
    </w:p>
    <w:p w14:paraId="7A6B8919"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0A7772E8"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أخبار من SHARP-ER ومن الشبكة</w:t>
      </w:r>
    </w:p>
    <w:p w14:paraId="237FD446"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محطات رئيسية من فريق المشروع، ومستجدات من منظمات المجتمع المدني التي نعمل معها.</w:t>
      </w:r>
    </w:p>
    <w:p w14:paraId="79FF386D"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تحديثات رسمية حول المحطات الرئيسية، وإطلاق الحملات، والمنشورات، والفعاليات. نموذج عنوان: “SHARP-ER يحتفل بمرور [X] أشهر على الحوار الوطني”. — </w:t>
      </w:r>
      <w:r>
        <w:rPr>
          <w:rFonts w:ascii="Traditional Arabic" w:eastAsia="Traditional Arabic" w:hAnsi="Traditional Arabic" w:cs="Traditional Arabic"/>
          <w:b/>
          <w:bCs/>
          <w:color w:val="1F2A44"/>
          <w:sz w:val="22"/>
          <w:szCs w:val="22"/>
          <w:rtl/>
        </w:rPr>
        <w:t>التبويب الأول — أخبار SHARP-ER</w:t>
      </w:r>
    </w:p>
    <w:p w14:paraId="4F2493E0"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مستجدات تنشرها منظمات المجتمع المدني الشريكة ضمن الائتلاف، وتُنسب كل بطاقة إلى المنظمة الناشرة. نموذج عنوان: </w:t>
      </w:r>
      <w:proofErr w:type="gramStart"/>
      <w:r>
        <w:rPr>
          <w:rFonts w:ascii="Traditional Arabic" w:eastAsia="Traditional Arabic" w:hAnsi="Traditional Arabic" w:cs="Traditional Arabic"/>
          <w:sz w:val="22"/>
          <w:szCs w:val="22"/>
          <w:rtl/>
        </w:rPr>
        <w:t>“[</w:t>
      </w:r>
      <w:proofErr w:type="gramEnd"/>
      <w:r>
        <w:rPr>
          <w:rFonts w:ascii="Traditional Arabic" w:eastAsia="Traditional Arabic" w:hAnsi="Traditional Arabic" w:cs="Traditional Arabic"/>
          <w:sz w:val="22"/>
          <w:szCs w:val="22"/>
          <w:rtl/>
        </w:rPr>
        <w:t xml:space="preserve">اسم المنظمة] تُنجز أول مشروع مجتمعي فرعي في [المدينة]”. — </w:t>
      </w:r>
      <w:r>
        <w:rPr>
          <w:rFonts w:ascii="Traditional Arabic" w:eastAsia="Traditional Arabic" w:hAnsi="Traditional Arabic" w:cs="Traditional Arabic"/>
          <w:b/>
          <w:bCs/>
          <w:color w:val="1F2A44"/>
          <w:sz w:val="22"/>
          <w:szCs w:val="22"/>
          <w:rtl/>
        </w:rPr>
        <w:t>التبويب الثاني — من الشبكة</w:t>
      </w:r>
    </w:p>
    <w:p w14:paraId="4949CFF7" w14:textId="77777777" w:rsidR="00202FEC" w:rsidRDefault="00000000">
      <w:pPr>
        <w:bidi/>
        <w:spacing w:before="80" w:after="220"/>
        <w:jc w:val="right"/>
      </w:pPr>
      <w:r>
        <w:rPr>
          <w:rFonts w:ascii="Traditional Arabic" w:eastAsia="Traditional Arabic" w:hAnsi="Traditional Arabic" w:cs="Traditional Arabic"/>
          <w:b/>
          <w:bCs/>
          <w:color w:val="1F2A44"/>
          <w:sz w:val="21"/>
          <w:szCs w:val="21"/>
          <w:rtl/>
        </w:rPr>
        <w:t>هل أنتم منظمة شريكة؟ شاركونا مستجداتكم ←</w:t>
      </w:r>
    </w:p>
    <w:p w14:paraId="2FBC1D89" w14:textId="77777777" w:rsidR="00202FEC" w:rsidRDefault="00000000">
      <w:pPr>
        <w:pageBreakBefore/>
        <w:spacing w:after="40"/>
      </w:pPr>
      <w:r>
        <w:rPr>
          <w:rFonts w:ascii="Calibri" w:eastAsia="Calibri" w:hAnsi="Calibri" w:cs="Calibri"/>
          <w:b/>
          <w:bCs/>
          <w:color w:val="1F2A44"/>
          <w:sz w:val="34"/>
          <w:szCs w:val="34"/>
        </w:rPr>
        <w:lastRenderedPageBreak/>
        <w:t>6. Resources and Publications</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الموارد والمنشورات</w:t>
      </w:r>
    </w:p>
    <w:p w14:paraId="653CE897"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6CB3D187" w14:textId="77777777" w:rsidR="00202FEC" w:rsidRDefault="00000000">
      <w:pPr>
        <w:spacing w:before="60" w:after="80"/>
      </w:pPr>
      <w:r>
        <w:rPr>
          <w:rFonts w:ascii="Calibri" w:eastAsia="Calibri" w:hAnsi="Calibri" w:cs="Calibri"/>
          <w:b/>
          <w:bCs/>
          <w:color w:val="1F2A44"/>
          <w:sz w:val="30"/>
          <w:szCs w:val="30"/>
        </w:rPr>
        <w:t>Reports, Research, and Publications</w:t>
      </w:r>
    </w:p>
    <w:p w14:paraId="497A1EBB" w14:textId="77777777" w:rsidR="00202FEC" w:rsidRDefault="00000000">
      <w:pPr>
        <w:spacing w:after="160"/>
      </w:pPr>
      <w:r>
        <w:rPr>
          <w:rFonts w:ascii="Calibri" w:eastAsia="Calibri" w:hAnsi="Calibri" w:cs="Calibri"/>
          <w:i/>
          <w:iCs/>
          <w:color w:val="595959"/>
          <w:sz w:val="23"/>
          <w:szCs w:val="23"/>
        </w:rPr>
        <w:t>Findings, articles, and official documents produced through SHARP-ER's research and dialogue work.</w:t>
      </w:r>
    </w:p>
    <w:p w14:paraId="6CF9BAFB" w14:textId="77777777" w:rsidR="00202FEC" w:rsidRDefault="00000000">
      <w:pPr>
        <w:spacing w:after="140"/>
      </w:pPr>
      <w:r>
        <w:rPr>
          <w:rFonts w:ascii="Calibri" w:eastAsia="Calibri" w:hAnsi="Calibri" w:cs="Calibri"/>
          <w:color w:val="262626"/>
          <w:sz w:val="22"/>
          <w:szCs w:val="22"/>
        </w:rPr>
        <w:t>Category filters: Research &amp; Perception Studies · Policy Articles · Project Reports · Visibility &amp; Fact Sheets</w:t>
      </w:r>
    </w:p>
    <w:p w14:paraId="43872139"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Sample resource 1 — </w:t>
      </w:r>
      <w:r>
        <w:rPr>
          <w:rFonts w:ascii="Calibri" w:eastAsia="Calibri" w:hAnsi="Calibri" w:cs="Calibri"/>
          <w:sz w:val="22"/>
          <w:szCs w:val="22"/>
        </w:rPr>
        <w:t>[Report title] — Nationwide Perception Study, [Year] — PDF, [file size]</w:t>
      </w:r>
    </w:p>
    <w:p w14:paraId="32127315"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Sample resource 2 — </w:t>
      </w:r>
      <w:r>
        <w:rPr>
          <w:rFonts w:ascii="Calibri" w:eastAsia="Calibri" w:hAnsi="Calibri" w:cs="Calibri"/>
          <w:sz w:val="22"/>
          <w:szCs w:val="22"/>
        </w:rPr>
        <w:t>SHARP-ER Fact Sheet — EN / AR — PDF</w:t>
      </w:r>
    </w:p>
    <w:p w14:paraId="08D5AB46"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Sample resource 3 — </w:t>
      </w:r>
      <w:r>
        <w:rPr>
          <w:rFonts w:ascii="Calibri" w:eastAsia="Calibri" w:hAnsi="Calibri" w:cs="Calibri"/>
          <w:sz w:val="22"/>
          <w:szCs w:val="22"/>
        </w:rPr>
        <w:t>[Article title] — Policy-to-Rights (P2R) series</w:t>
      </w:r>
    </w:p>
    <w:p w14:paraId="08184A37" w14:textId="77777777" w:rsidR="00202FEC" w:rsidRDefault="00000000">
      <w:pPr>
        <w:spacing w:before="80" w:after="220"/>
      </w:pPr>
      <w:r>
        <w:rPr>
          <w:rFonts w:ascii="Calibri" w:eastAsia="Calibri" w:hAnsi="Calibri" w:cs="Calibri"/>
          <w:b/>
          <w:bCs/>
          <w:color w:val="1F2A44"/>
          <w:sz w:val="21"/>
          <w:szCs w:val="21"/>
        </w:rPr>
        <w:t>Download →</w:t>
      </w:r>
    </w:p>
    <w:p w14:paraId="26E3D2C9"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0D1A2258"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تقارير وأبحاث ومنشورات</w:t>
      </w:r>
    </w:p>
    <w:p w14:paraId="3EA43BB9"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نتائج ومقالات ووثائق رسمية صادرة عن أعمال البحث والحوار في مشروع SHARP-ER.</w:t>
      </w:r>
    </w:p>
    <w:p w14:paraId="3D93F310" w14:textId="77777777" w:rsidR="00202FEC" w:rsidRDefault="00000000">
      <w:pPr>
        <w:bidi/>
        <w:spacing w:after="140"/>
        <w:jc w:val="right"/>
      </w:pPr>
      <w:r>
        <w:rPr>
          <w:rFonts w:ascii="Traditional Arabic" w:eastAsia="Traditional Arabic" w:hAnsi="Traditional Arabic" w:cs="Traditional Arabic"/>
          <w:color w:val="262626"/>
          <w:sz w:val="24"/>
          <w:szCs w:val="24"/>
          <w:rtl/>
        </w:rPr>
        <w:t xml:space="preserve">تصنيفات التصفية: دراسات بحثية واستطلاعية · مقالات </w:t>
      </w:r>
      <w:proofErr w:type="spellStart"/>
      <w:r>
        <w:rPr>
          <w:rFonts w:ascii="Traditional Arabic" w:eastAsia="Traditional Arabic" w:hAnsi="Traditional Arabic" w:cs="Traditional Arabic"/>
          <w:color w:val="262626"/>
          <w:sz w:val="24"/>
          <w:szCs w:val="24"/>
          <w:rtl/>
        </w:rPr>
        <w:t>سياساتية</w:t>
      </w:r>
      <w:proofErr w:type="spellEnd"/>
      <w:r>
        <w:rPr>
          <w:rFonts w:ascii="Traditional Arabic" w:eastAsia="Traditional Arabic" w:hAnsi="Traditional Arabic" w:cs="Traditional Arabic"/>
          <w:color w:val="262626"/>
          <w:sz w:val="24"/>
          <w:szCs w:val="24"/>
          <w:rtl/>
        </w:rPr>
        <w:t xml:space="preserve"> · تقارير المشروع · مواد الرؤية وأوراق الحقائق</w:t>
      </w:r>
    </w:p>
    <w:p w14:paraId="6FE071E5"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[عنوان التقرير] — دراسة استطلاعية وطنية، [السنة] — PDF، [حجم الملف] — </w:t>
      </w:r>
      <w:r>
        <w:rPr>
          <w:rFonts w:ascii="Traditional Arabic" w:eastAsia="Traditional Arabic" w:hAnsi="Traditional Arabic" w:cs="Traditional Arabic"/>
          <w:b/>
          <w:bCs/>
          <w:color w:val="1F2A44"/>
          <w:sz w:val="22"/>
          <w:szCs w:val="22"/>
          <w:rtl/>
        </w:rPr>
        <w:t>نموذج 1</w:t>
      </w:r>
    </w:p>
    <w:p w14:paraId="107E4A2B"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ورقة حقائق SHARP-ER — عربي/إنجليزي — PDF — </w:t>
      </w:r>
      <w:r>
        <w:rPr>
          <w:rFonts w:ascii="Traditional Arabic" w:eastAsia="Traditional Arabic" w:hAnsi="Traditional Arabic" w:cs="Traditional Arabic"/>
          <w:b/>
          <w:bCs/>
          <w:color w:val="1F2A44"/>
          <w:sz w:val="22"/>
          <w:szCs w:val="22"/>
          <w:rtl/>
        </w:rPr>
        <w:t>نموذج 2</w:t>
      </w:r>
    </w:p>
    <w:p w14:paraId="57EFFD5B"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[عنوان المقال] — سلسلة “من السياسة إلى الحقوق” (P2R) — </w:t>
      </w:r>
      <w:r>
        <w:rPr>
          <w:rFonts w:ascii="Traditional Arabic" w:eastAsia="Traditional Arabic" w:hAnsi="Traditional Arabic" w:cs="Traditional Arabic"/>
          <w:b/>
          <w:bCs/>
          <w:color w:val="1F2A44"/>
          <w:sz w:val="22"/>
          <w:szCs w:val="22"/>
          <w:rtl/>
        </w:rPr>
        <w:t>نموذج 3</w:t>
      </w:r>
    </w:p>
    <w:p w14:paraId="2CD76C91" w14:textId="77777777" w:rsidR="00202FEC" w:rsidRDefault="00000000">
      <w:pPr>
        <w:bidi/>
        <w:spacing w:before="80" w:after="220"/>
        <w:jc w:val="right"/>
      </w:pPr>
      <w:r>
        <w:rPr>
          <w:rFonts w:ascii="Traditional Arabic" w:eastAsia="Traditional Arabic" w:hAnsi="Traditional Arabic" w:cs="Traditional Arabic"/>
          <w:b/>
          <w:bCs/>
          <w:color w:val="1F2A44"/>
          <w:sz w:val="21"/>
          <w:szCs w:val="21"/>
          <w:rtl/>
        </w:rPr>
        <w:t>تحميل ←</w:t>
      </w:r>
    </w:p>
    <w:p w14:paraId="5F6CCEB7" w14:textId="77777777" w:rsidR="00202FEC" w:rsidRDefault="00000000">
      <w:pPr>
        <w:pageBreakBefore/>
        <w:spacing w:after="40"/>
      </w:pPr>
      <w:r>
        <w:rPr>
          <w:rFonts w:ascii="Calibri" w:eastAsia="Calibri" w:hAnsi="Calibri" w:cs="Calibri"/>
          <w:b/>
          <w:bCs/>
          <w:color w:val="1F2A44"/>
          <w:sz w:val="34"/>
          <w:szCs w:val="34"/>
        </w:rPr>
        <w:lastRenderedPageBreak/>
        <w:t>7. Knowledge Hub</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مركز المعرفة</w:t>
      </w:r>
    </w:p>
    <w:p w14:paraId="6817CB23"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73D8E962" w14:textId="77777777" w:rsidR="00202FEC" w:rsidRDefault="00000000">
      <w:pPr>
        <w:spacing w:before="60" w:after="80"/>
      </w:pPr>
      <w:r>
        <w:rPr>
          <w:rFonts w:ascii="Calibri" w:eastAsia="Calibri" w:hAnsi="Calibri" w:cs="Calibri"/>
          <w:b/>
          <w:bCs/>
          <w:color w:val="1F2A44"/>
          <w:sz w:val="30"/>
          <w:szCs w:val="30"/>
        </w:rPr>
        <w:t>Learn From the SHARP Network</w:t>
      </w:r>
    </w:p>
    <w:p w14:paraId="637E557A" w14:textId="77777777" w:rsidR="00202FEC" w:rsidRDefault="00000000">
      <w:pPr>
        <w:spacing w:after="160"/>
      </w:pPr>
      <w:r>
        <w:rPr>
          <w:rFonts w:ascii="Calibri" w:eastAsia="Calibri" w:hAnsi="Calibri" w:cs="Calibri"/>
          <w:i/>
          <w:iCs/>
          <w:color w:val="595959"/>
          <w:sz w:val="23"/>
          <w:szCs w:val="23"/>
        </w:rPr>
        <w:t>Training materials, dialogue guides, and lessons from civil society organisations putting SHARP-ER's approach into practice.</w:t>
      </w:r>
    </w:p>
    <w:p w14:paraId="00A21359"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Training modules &amp; toolkits — </w:t>
      </w:r>
      <w:r>
        <w:rPr>
          <w:rFonts w:ascii="Calibri" w:eastAsia="Calibri" w:hAnsi="Calibri" w:cs="Calibri"/>
          <w:sz w:val="22"/>
          <w:szCs w:val="22"/>
        </w:rPr>
        <w:t>From peer-to-peer learning and dialogue-facilitation training.</w:t>
      </w:r>
    </w:p>
    <w:p w14:paraId="64CCF1A1"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Civil Society Law Session guides — </w:t>
      </w:r>
      <w:r>
        <w:rPr>
          <w:rFonts w:ascii="Calibri" w:eastAsia="Calibri" w:hAnsi="Calibri" w:cs="Calibri"/>
          <w:sz w:val="22"/>
          <w:szCs w:val="22"/>
        </w:rPr>
        <w:t>From joint sessions with the Commission on Civil Society (CCS).</w:t>
      </w:r>
    </w:p>
    <w:p w14:paraId="255EA574"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Case studies — </w:t>
      </w:r>
      <w:r>
        <w:rPr>
          <w:rFonts w:ascii="Calibri" w:eastAsia="Calibri" w:hAnsi="Calibri" w:cs="Calibri"/>
          <w:sz w:val="22"/>
          <w:szCs w:val="22"/>
        </w:rPr>
        <w:t>From CSO sub-projects across the network.</w:t>
      </w:r>
    </w:p>
    <w:p w14:paraId="3AFE0AAA"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FAQs — </w:t>
      </w:r>
      <w:r>
        <w:rPr>
          <w:rFonts w:ascii="Calibri" w:eastAsia="Calibri" w:hAnsi="Calibri" w:cs="Calibri"/>
          <w:sz w:val="22"/>
          <w:szCs w:val="22"/>
        </w:rPr>
        <w:t>Plain-language answers on rule of law, governance, and civic participation basics.</w:t>
      </w:r>
    </w:p>
    <w:p w14:paraId="3EEBE616" w14:textId="77777777" w:rsidR="00202FEC" w:rsidRDefault="00000000">
      <w:pPr>
        <w:spacing w:before="80" w:after="220"/>
      </w:pPr>
      <w:r>
        <w:rPr>
          <w:rFonts w:ascii="Calibri" w:eastAsia="Calibri" w:hAnsi="Calibri" w:cs="Calibri"/>
          <w:b/>
          <w:bCs/>
          <w:color w:val="1F2A44"/>
          <w:sz w:val="21"/>
          <w:szCs w:val="21"/>
        </w:rPr>
        <w:t>Browse the hub →</w:t>
      </w:r>
    </w:p>
    <w:p w14:paraId="7AE6BB05"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00A1B7A4"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تعلّم من شبكة SHARP</w:t>
      </w:r>
    </w:p>
    <w:p w14:paraId="570EB59D"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مواد تدريبية، وأدلة حوار، ودروس مستفادة من منظمات المجتمع المدني التي تطبّق نهج SHARP-ER على أرض الواقع.</w:t>
      </w:r>
    </w:p>
    <w:p w14:paraId="6A5A3A3A"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من التعلّم بين الأقران وتدريب تيسير الحوار. — </w:t>
      </w:r>
      <w:r>
        <w:rPr>
          <w:rFonts w:ascii="Traditional Arabic" w:eastAsia="Traditional Arabic" w:hAnsi="Traditional Arabic" w:cs="Traditional Arabic"/>
          <w:b/>
          <w:bCs/>
          <w:color w:val="1F2A44"/>
          <w:sz w:val="22"/>
          <w:szCs w:val="22"/>
          <w:rtl/>
        </w:rPr>
        <w:t>وحدات تدريبية وأدلة عملية</w:t>
      </w:r>
    </w:p>
    <w:p w14:paraId="2278A17B"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من الجلسات المشتركة مع لجنة المجتمع المدني (CCS). — </w:t>
      </w:r>
      <w:r>
        <w:rPr>
          <w:rFonts w:ascii="Traditional Arabic" w:eastAsia="Traditional Arabic" w:hAnsi="Traditional Arabic" w:cs="Traditional Arabic"/>
          <w:b/>
          <w:bCs/>
          <w:color w:val="1F2A44"/>
          <w:sz w:val="22"/>
          <w:szCs w:val="22"/>
          <w:rtl/>
        </w:rPr>
        <w:t>أدلة جلسات قانون المجتمع المدني</w:t>
      </w:r>
    </w:p>
    <w:p w14:paraId="08D7C06E"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من المشاريع الفرعية لمنظمات المجتمع المدني عبر الشبكة. — </w:t>
      </w:r>
      <w:r>
        <w:rPr>
          <w:rFonts w:ascii="Traditional Arabic" w:eastAsia="Traditional Arabic" w:hAnsi="Traditional Arabic" w:cs="Traditional Arabic"/>
          <w:b/>
          <w:bCs/>
          <w:color w:val="1F2A44"/>
          <w:sz w:val="22"/>
          <w:szCs w:val="22"/>
          <w:rtl/>
        </w:rPr>
        <w:t>دراسات حالة</w:t>
      </w:r>
    </w:p>
    <w:p w14:paraId="57FE0025"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إجابات بلغة مبسّطة حول أساسيات سيادة القانون والحوكمة والمشاركة المدنية. — </w:t>
      </w:r>
      <w:r>
        <w:rPr>
          <w:rFonts w:ascii="Traditional Arabic" w:eastAsia="Traditional Arabic" w:hAnsi="Traditional Arabic" w:cs="Traditional Arabic"/>
          <w:b/>
          <w:bCs/>
          <w:color w:val="1F2A44"/>
          <w:sz w:val="22"/>
          <w:szCs w:val="22"/>
          <w:rtl/>
        </w:rPr>
        <w:t>أسئلة شائعة</w:t>
      </w:r>
    </w:p>
    <w:p w14:paraId="46587085" w14:textId="77777777" w:rsidR="00202FEC" w:rsidRDefault="00000000">
      <w:pPr>
        <w:bidi/>
        <w:spacing w:before="80" w:after="220"/>
        <w:jc w:val="right"/>
      </w:pPr>
      <w:r>
        <w:rPr>
          <w:rFonts w:ascii="Traditional Arabic" w:eastAsia="Traditional Arabic" w:hAnsi="Traditional Arabic" w:cs="Traditional Arabic"/>
          <w:b/>
          <w:bCs/>
          <w:color w:val="1F2A44"/>
          <w:sz w:val="21"/>
          <w:szCs w:val="21"/>
          <w:rtl/>
        </w:rPr>
        <w:t>تصفّح المركز ←</w:t>
      </w:r>
    </w:p>
    <w:p w14:paraId="49E1796E" w14:textId="77777777" w:rsidR="00202FEC" w:rsidRDefault="00000000">
      <w:pPr>
        <w:pageBreakBefore/>
        <w:spacing w:after="40"/>
      </w:pPr>
      <w:r>
        <w:rPr>
          <w:rFonts w:ascii="Calibri" w:eastAsia="Calibri" w:hAnsi="Calibri" w:cs="Calibri"/>
          <w:b/>
          <w:bCs/>
          <w:color w:val="1F2A44"/>
          <w:sz w:val="34"/>
          <w:szCs w:val="34"/>
        </w:rPr>
        <w:lastRenderedPageBreak/>
        <w:t>8. Applications and Opportunities</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طلبات وفرص المشاركة</w:t>
      </w:r>
    </w:p>
    <w:p w14:paraId="0E16746D"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0E7D27D5" w14:textId="77777777" w:rsidR="00202FEC" w:rsidRDefault="00000000">
      <w:pPr>
        <w:spacing w:before="60" w:after="80"/>
      </w:pPr>
      <w:r>
        <w:rPr>
          <w:rFonts w:ascii="Calibri" w:eastAsia="Calibri" w:hAnsi="Calibri" w:cs="Calibri"/>
          <w:b/>
          <w:bCs/>
          <w:color w:val="1F2A44"/>
          <w:sz w:val="30"/>
          <w:szCs w:val="30"/>
        </w:rPr>
        <w:t>Get Involved</w:t>
      </w:r>
    </w:p>
    <w:p w14:paraId="726DCCA0" w14:textId="77777777" w:rsidR="00202FEC" w:rsidRDefault="00000000">
      <w:pPr>
        <w:spacing w:after="160"/>
      </w:pPr>
      <w:r>
        <w:rPr>
          <w:rFonts w:ascii="Calibri" w:eastAsia="Calibri" w:hAnsi="Calibri" w:cs="Calibri"/>
          <w:i/>
          <w:iCs/>
          <w:color w:val="595959"/>
          <w:sz w:val="23"/>
          <w:szCs w:val="23"/>
        </w:rPr>
        <w:t>Whether you're a civil society organisation or an individual, here's how to take part in SHARP-ER.</w:t>
      </w:r>
    </w:p>
    <w:p w14:paraId="79500371"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Apply for a Call for Expression of Interest — </w:t>
      </w:r>
      <w:r>
        <w:rPr>
          <w:rFonts w:ascii="Calibri" w:eastAsia="Calibri" w:hAnsi="Calibri" w:cs="Calibri"/>
          <w:sz w:val="22"/>
          <w:szCs w:val="22"/>
        </w:rPr>
        <w:t>Open calls for CSO sub-projects and Policy-to-Rights (P2R) initiatives. [Status tag: Open/Closed] — See current calls →</w:t>
      </w:r>
    </w:p>
    <w:p w14:paraId="0DA106DB"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Join the SHARP Network — </w:t>
      </w:r>
      <w:r>
        <w:rPr>
          <w:rFonts w:ascii="Calibri" w:eastAsia="Calibri" w:hAnsi="Calibri" w:cs="Calibri"/>
          <w:sz w:val="22"/>
          <w:szCs w:val="22"/>
        </w:rPr>
        <w:t>Become part of the civil society network behind SHARP-ER: regional meetings, peer learning, and joint events. Membership involves [eligibility criteria — TBD]. — Apply to join →</w:t>
      </w:r>
    </w:p>
    <w:p w14:paraId="7590BC53" w14:textId="77777777" w:rsidR="00202FEC" w:rsidRDefault="00000000">
      <w:pPr>
        <w:pStyle w:val="ListParagraph"/>
        <w:numPr>
          <w:ilvl w:val="0"/>
          <w:numId w:val="2"/>
        </w:numPr>
        <w:spacing w:after="100"/>
      </w:pPr>
      <w:r>
        <w:rPr>
          <w:rFonts w:ascii="Calibri" w:eastAsia="Calibri" w:hAnsi="Calibri" w:cs="Calibri"/>
          <w:b/>
          <w:bCs/>
          <w:color w:val="1F2A44"/>
          <w:sz w:val="22"/>
          <w:szCs w:val="22"/>
        </w:rPr>
        <w:t xml:space="preserve">Register for a SUQ Dialogue or Training — </w:t>
      </w:r>
      <w:r>
        <w:rPr>
          <w:rFonts w:ascii="Calibri" w:eastAsia="Calibri" w:hAnsi="Calibri" w:cs="Calibri"/>
          <w:sz w:val="22"/>
          <w:szCs w:val="22"/>
        </w:rPr>
        <w:t>Take part in an upcoming Search, Understand, Question dialogue or a dialogue-facilitation training. — View upcoming sessions →</w:t>
      </w:r>
    </w:p>
    <w:p w14:paraId="4C95A1E8" w14:textId="77777777" w:rsidR="00202FEC" w:rsidRDefault="00000000">
      <w:pPr>
        <w:spacing w:after="140"/>
      </w:pPr>
      <w:r>
        <w:rPr>
          <w:rFonts w:ascii="Calibri" w:eastAsia="Calibri" w:hAnsi="Calibri" w:cs="Calibri"/>
          <w:color w:val="262626"/>
          <w:sz w:val="22"/>
          <w:szCs w:val="22"/>
        </w:rPr>
        <w:t>Confirmation / next steps (network application): “Thank you for applying to join the SHARP network. Our team will review your application and follow up within [X weeks].”</w:t>
      </w:r>
    </w:p>
    <w:p w14:paraId="23710E62"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43419BEB"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شارك معنا</w:t>
      </w:r>
    </w:p>
    <w:p w14:paraId="470769CD"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سواء كنتم منظمة مجتمع مدني أو فردًا، إليكم كيفية المشاركة في SHARP-ER.</w:t>
      </w:r>
    </w:p>
    <w:p w14:paraId="0272B8BD"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دعوات مفتوحة للمشاريع الفرعية لمنظمات المجتمع المدني ومبادرات “من السياسة إلى الحقوق”. [الحالة: مفتوحة/مغلقة] — اطّلع على الدعوات الحالية ← — </w:t>
      </w:r>
      <w:r>
        <w:rPr>
          <w:rFonts w:ascii="Traditional Arabic" w:eastAsia="Traditional Arabic" w:hAnsi="Traditional Arabic" w:cs="Traditional Arabic"/>
          <w:b/>
          <w:bCs/>
          <w:color w:val="1F2A44"/>
          <w:sz w:val="22"/>
          <w:szCs w:val="22"/>
          <w:rtl/>
        </w:rPr>
        <w:t>التقديم على دعوة للتعبير عن الاهتمام</w:t>
      </w:r>
    </w:p>
    <w:p w14:paraId="0625E748"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كن جزءًا من شبكة المجتمع المدني وراء SHARP-ER: اجتماعات إقليمية، وتعلّم بين الأقران، وفعاليات مشتركة. تشمل العضوية [معايير الأهلية — تُحدَّد لاحقًا]. — قدّم طلب الانضمام ← — </w:t>
      </w:r>
      <w:r>
        <w:rPr>
          <w:rFonts w:ascii="Traditional Arabic" w:eastAsia="Traditional Arabic" w:hAnsi="Traditional Arabic" w:cs="Traditional Arabic"/>
          <w:b/>
          <w:bCs/>
          <w:color w:val="1F2A44"/>
          <w:sz w:val="22"/>
          <w:szCs w:val="22"/>
          <w:rtl/>
        </w:rPr>
        <w:t>انضم إلى شبكة SHARP</w:t>
      </w:r>
    </w:p>
    <w:p w14:paraId="7726669C" w14:textId="77777777" w:rsidR="00202FEC" w:rsidRDefault="00000000">
      <w:pPr>
        <w:pStyle w:val="ListParagraph"/>
        <w:numPr>
          <w:ilvl w:val="0"/>
          <w:numId w:val="3"/>
        </w:numPr>
        <w:bidi/>
        <w:spacing w:after="100"/>
        <w:jc w:val="right"/>
      </w:pPr>
      <w:r>
        <w:rPr>
          <w:rFonts w:ascii="Traditional Arabic" w:eastAsia="Traditional Arabic" w:hAnsi="Traditional Arabic" w:cs="Traditional Arabic"/>
          <w:sz w:val="22"/>
          <w:szCs w:val="22"/>
          <w:rtl/>
        </w:rPr>
        <w:t xml:space="preserve">شارك في حوار قادم من نوع “ابحث، افهم، اسأل” أو في تدريب على تيسير الحوار. — اطّلع على الجلسات القادمة ← — </w:t>
      </w:r>
      <w:r>
        <w:rPr>
          <w:rFonts w:ascii="Traditional Arabic" w:eastAsia="Traditional Arabic" w:hAnsi="Traditional Arabic" w:cs="Traditional Arabic"/>
          <w:b/>
          <w:bCs/>
          <w:color w:val="1F2A44"/>
          <w:sz w:val="22"/>
          <w:szCs w:val="22"/>
          <w:rtl/>
        </w:rPr>
        <w:t>سجّل في حوار SUQ أو تدريب</w:t>
      </w:r>
    </w:p>
    <w:p w14:paraId="173B5B04" w14:textId="77777777" w:rsidR="00202FEC" w:rsidRDefault="00000000">
      <w:pPr>
        <w:bidi/>
        <w:spacing w:after="140"/>
        <w:jc w:val="right"/>
      </w:pPr>
      <w:r>
        <w:rPr>
          <w:rFonts w:ascii="Traditional Arabic" w:eastAsia="Traditional Arabic" w:hAnsi="Traditional Arabic" w:cs="Traditional Arabic"/>
          <w:color w:val="262626"/>
          <w:sz w:val="24"/>
          <w:szCs w:val="24"/>
          <w:rtl/>
        </w:rPr>
        <w:t>التأكيد / الخطوات التالية (طلب الانضمام للشبكة): “شكرًا لتقديمك طلب الانضمام إلى شبكة SHARP. سيراجع فريقنا طلبك ويتواصل معك خلال [X أسابيع].”</w:t>
      </w:r>
    </w:p>
    <w:p w14:paraId="5B1F6D50" w14:textId="77777777" w:rsidR="00202FEC" w:rsidRDefault="00000000">
      <w:pPr>
        <w:pageBreakBefore/>
        <w:spacing w:after="40"/>
      </w:pPr>
      <w:r>
        <w:rPr>
          <w:rFonts w:ascii="Calibri" w:eastAsia="Calibri" w:hAnsi="Calibri" w:cs="Calibri"/>
          <w:b/>
          <w:bCs/>
          <w:color w:val="1F2A44"/>
          <w:sz w:val="34"/>
          <w:szCs w:val="34"/>
        </w:rPr>
        <w:lastRenderedPageBreak/>
        <w:t>9. Contact</w:t>
      </w:r>
      <w:r>
        <w:rPr>
          <w:rFonts w:ascii="Calibri" w:eastAsia="Calibri" w:hAnsi="Calibri" w:cs="Calibri"/>
          <w:color w:val="BFBFBF"/>
          <w:sz w:val="34"/>
          <w:szCs w:val="34"/>
        </w:rPr>
        <w:t xml:space="preserve">   /   </w:t>
      </w:r>
      <w:r>
        <w:rPr>
          <w:rFonts w:ascii="Traditional Arabic" w:eastAsia="Traditional Arabic" w:hAnsi="Traditional Arabic" w:cs="Traditional Arabic"/>
          <w:b/>
          <w:bCs/>
          <w:color w:val="1F2A44"/>
          <w:sz w:val="34"/>
          <w:szCs w:val="34"/>
          <w:rtl/>
        </w:rPr>
        <w:t>تواصل معنا</w:t>
      </w:r>
    </w:p>
    <w:p w14:paraId="34B46760" w14:textId="77777777" w:rsidR="00202FEC" w:rsidRDefault="00000000">
      <w:pPr>
        <w:pBdr>
          <w:bottom w:val="single" w:sz="4" w:space="2" w:color="B08D57"/>
        </w:pBdr>
        <w:spacing w:before="200" w:after="100"/>
      </w:pPr>
      <w:r>
        <w:rPr>
          <w:rFonts w:ascii="Calibri" w:eastAsia="Calibri" w:hAnsi="Calibri" w:cs="Calibri"/>
          <w:b/>
          <w:bCs/>
          <w:color w:val="B08D57"/>
          <w:spacing w:val="20"/>
          <w:sz w:val="18"/>
          <w:szCs w:val="18"/>
        </w:rPr>
        <w:t>ENGLISH</w:t>
      </w:r>
    </w:p>
    <w:p w14:paraId="07EEA64B" w14:textId="77777777" w:rsidR="00202FEC" w:rsidRDefault="00000000">
      <w:pPr>
        <w:spacing w:before="60" w:after="80"/>
      </w:pPr>
      <w:r>
        <w:rPr>
          <w:rFonts w:ascii="Calibri" w:eastAsia="Calibri" w:hAnsi="Calibri" w:cs="Calibri"/>
          <w:b/>
          <w:bCs/>
          <w:color w:val="1F2A44"/>
          <w:sz w:val="30"/>
          <w:szCs w:val="30"/>
        </w:rPr>
        <w:t>Get in Touch</w:t>
      </w:r>
    </w:p>
    <w:p w14:paraId="696E4B9B" w14:textId="77777777" w:rsidR="00202FEC" w:rsidRDefault="00000000">
      <w:pPr>
        <w:spacing w:after="160"/>
      </w:pPr>
      <w:r>
        <w:rPr>
          <w:rFonts w:ascii="Calibri" w:eastAsia="Calibri" w:hAnsi="Calibri" w:cs="Calibri"/>
          <w:i/>
          <w:iCs/>
          <w:color w:val="595959"/>
          <w:sz w:val="23"/>
          <w:szCs w:val="23"/>
        </w:rPr>
        <w:t>Questions about SHARP-ER, a partnership, or a specific activity? Reach out.</w:t>
      </w:r>
    </w:p>
    <w:p w14:paraId="47577AA2" w14:textId="77777777" w:rsidR="00202FEC" w:rsidRDefault="00000000">
      <w:pPr>
        <w:spacing w:after="140"/>
      </w:pPr>
      <w:r>
        <w:rPr>
          <w:rFonts w:ascii="Calibri" w:eastAsia="Calibri" w:hAnsi="Calibri" w:cs="Calibri"/>
          <w:color w:val="262626"/>
          <w:sz w:val="22"/>
          <w:szCs w:val="22"/>
        </w:rPr>
        <w:t>Form fields: Name · Organisation (optional) · Email · Subject · Message</w:t>
      </w:r>
    </w:p>
    <w:p w14:paraId="02088653" w14:textId="77777777" w:rsidR="00202FEC" w:rsidRDefault="00000000">
      <w:pPr>
        <w:spacing w:after="140"/>
      </w:pPr>
      <w:r>
        <w:rPr>
          <w:rFonts w:ascii="Calibri" w:eastAsia="Calibri" w:hAnsi="Calibri" w:cs="Calibri"/>
          <w:color w:val="262626"/>
          <w:sz w:val="22"/>
          <w:szCs w:val="22"/>
        </w:rPr>
        <w:t>General enquiries: [project email — e.g. info@sharper.ly]  ·  Website: sharper.ly  ·  Follow us: [Facebook page link placeholder]</w:t>
      </w:r>
    </w:p>
    <w:p w14:paraId="1C15E017" w14:textId="77777777" w:rsidR="00202FEC" w:rsidRDefault="00000000">
      <w:pPr>
        <w:spacing w:after="140"/>
      </w:pPr>
      <w:r>
        <w:rPr>
          <w:rFonts w:ascii="Calibri" w:eastAsia="Calibri" w:hAnsi="Calibri" w:cs="Calibri"/>
          <w:color w:val="262626"/>
          <w:sz w:val="22"/>
          <w:szCs w:val="22"/>
        </w:rPr>
        <w:t>Consortium contacts (optional accordion): Acted Libya · United Efforts Consultancy · Stichting Bureau Ensemble — [addresses/contacts TBD]</w:t>
      </w:r>
    </w:p>
    <w:p w14:paraId="0E42A635" w14:textId="77777777" w:rsidR="00202FEC" w:rsidRDefault="00000000">
      <w:pPr>
        <w:pBdr>
          <w:bottom w:val="single" w:sz="4" w:space="2" w:color="B08D57"/>
        </w:pBdr>
        <w:bidi/>
        <w:spacing w:before="200" w:after="100"/>
        <w:jc w:val="right"/>
      </w:pPr>
      <w:r>
        <w:rPr>
          <w:rFonts w:ascii="Traditional Arabic" w:eastAsia="Traditional Arabic" w:hAnsi="Traditional Arabic" w:cs="Traditional Arabic"/>
          <w:b/>
          <w:bCs/>
          <w:color w:val="B08D57"/>
          <w:rtl/>
        </w:rPr>
        <w:t>النص بالعربية (الفصحى)</w:t>
      </w:r>
    </w:p>
    <w:p w14:paraId="2DEEED30" w14:textId="77777777" w:rsidR="00202FEC" w:rsidRDefault="00000000">
      <w:pPr>
        <w:bidi/>
        <w:spacing w:before="60" w:after="80"/>
        <w:jc w:val="right"/>
      </w:pPr>
      <w:r>
        <w:rPr>
          <w:rFonts w:ascii="Traditional Arabic" w:eastAsia="Traditional Arabic" w:hAnsi="Traditional Arabic" w:cs="Traditional Arabic"/>
          <w:b/>
          <w:bCs/>
          <w:color w:val="1F2A44"/>
          <w:sz w:val="30"/>
          <w:szCs w:val="30"/>
          <w:rtl/>
        </w:rPr>
        <w:t>تواصل معنا</w:t>
      </w:r>
    </w:p>
    <w:p w14:paraId="420E0B2D" w14:textId="77777777" w:rsidR="00202FEC" w:rsidRDefault="00000000">
      <w:pPr>
        <w:bidi/>
        <w:spacing w:after="160"/>
        <w:jc w:val="right"/>
      </w:pPr>
      <w:r>
        <w:rPr>
          <w:rFonts w:ascii="Traditional Arabic" w:eastAsia="Traditional Arabic" w:hAnsi="Traditional Arabic" w:cs="Traditional Arabic"/>
          <w:i/>
          <w:iCs/>
          <w:color w:val="595959"/>
          <w:sz w:val="24"/>
          <w:szCs w:val="24"/>
          <w:rtl/>
        </w:rPr>
        <w:t>لديك استفسار حول SHARP-ER، أو شراكة محتملة، أو نشاط معيّن؟ راسلنا.</w:t>
      </w:r>
    </w:p>
    <w:p w14:paraId="2FCF94CA" w14:textId="77777777" w:rsidR="00202FEC" w:rsidRDefault="00000000">
      <w:pPr>
        <w:bidi/>
        <w:spacing w:after="140"/>
        <w:jc w:val="right"/>
      </w:pPr>
      <w:r>
        <w:rPr>
          <w:rFonts w:ascii="Traditional Arabic" w:eastAsia="Traditional Arabic" w:hAnsi="Traditional Arabic" w:cs="Traditional Arabic"/>
          <w:color w:val="262626"/>
          <w:sz w:val="24"/>
          <w:szCs w:val="24"/>
          <w:rtl/>
        </w:rPr>
        <w:t>حقول النموذج: الاسم · المنظمة (اختياري) · البريد الإلكتروني · الموضوع · الرسالة</w:t>
      </w:r>
    </w:p>
    <w:p w14:paraId="498BE23F" w14:textId="77777777" w:rsidR="00202FEC" w:rsidRDefault="00000000">
      <w:pPr>
        <w:bidi/>
        <w:spacing w:after="140"/>
        <w:jc w:val="right"/>
      </w:pPr>
      <w:r>
        <w:rPr>
          <w:rFonts w:ascii="Traditional Arabic" w:eastAsia="Traditional Arabic" w:hAnsi="Traditional Arabic" w:cs="Traditional Arabic"/>
          <w:color w:val="262626"/>
          <w:sz w:val="24"/>
          <w:szCs w:val="24"/>
          <w:rtl/>
        </w:rPr>
        <w:t>للاستفسارات العامة: [البريد الإلكتروني للمشروع] · الموقع الإلكتروني: sharper.ly · تابعونا: [رابط صفحة فيسبوك]</w:t>
      </w:r>
    </w:p>
    <w:p w14:paraId="16737510" w14:textId="77777777" w:rsidR="00202FEC" w:rsidRDefault="00000000">
      <w:pPr>
        <w:bidi/>
        <w:spacing w:after="140"/>
        <w:jc w:val="right"/>
      </w:pPr>
      <w:r>
        <w:rPr>
          <w:rFonts w:ascii="Traditional Arabic" w:eastAsia="Traditional Arabic" w:hAnsi="Traditional Arabic" w:cs="Traditional Arabic"/>
          <w:color w:val="262626"/>
          <w:sz w:val="24"/>
          <w:szCs w:val="24"/>
          <w:rtl/>
        </w:rPr>
        <w:t xml:space="preserve">جهات اتصال الائتلاف (قائمة قابلة للطي، اختياري): </w:t>
      </w:r>
      <w:proofErr w:type="spellStart"/>
      <w:r>
        <w:rPr>
          <w:rFonts w:ascii="Traditional Arabic" w:eastAsia="Traditional Arabic" w:hAnsi="Traditional Arabic" w:cs="Traditional Arabic"/>
          <w:color w:val="262626"/>
          <w:sz w:val="24"/>
          <w:szCs w:val="24"/>
          <w:rtl/>
        </w:rPr>
        <w:t>Acted</w:t>
      </w:r>
      <w:proofErr w:type="spellEnd"/>
      <w:r>
        <w:rPr>
          <w:rFonts w:ascii="Traditional Arabic" w:eastAsia="Traditional Arabic" w:hAnsi="Traditional Arabic" w:cs="Traditional Arabic"/>
          <w:color w:val="262626"/>
          <w:sz w:val="24"/>
          <w:szCs w:val="24"/>
          <w:rtl/>
        </w:rPr>
        <w:t xml:space="preserve"> ليبيا · </w:t>
      </w:r>
      <w:proofErr w:type="spellStart"/>
      <w:r>
        <w:rPr>
          <w:rFonts w:ascii="Traditional Arabic" w:eastAsia="Traditional Arabic" w:hAnsi="Traditional Arabic" w:cs="Traditional Arabic"/>
          <w:color w:val="262626"/>
          <w:sz w:val="24"/>
          <w:szCs w:val="24"/>
          <w:rtl/>
        </w:rPr>
        <w:t>United</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Efforts</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Consultancy</w:t>
      </w:r>
      <w:proofErr w:type="spellEnd"/>
      <w:r>
        <w:rPr>
          <w:rFonts w:ascii="Traditional Arabic" w:eastAsia="Traditional Arabic" w:hAnsi="Traditional Arabic" w:cs="Traditional Arabic"/>
          <w:color w:val="262626"/>
          <w:sz w:val="24"/>
          <w:szCs w:val="24"/>
          <w:rtl/>
        </w:rPr>
        <w:t xml:space="preserve"> · </w:t>
      </w:r>
      <w:proofErr w:type="spellStart"/>
      <w:r>
        <w:rPr>
          <w:rFonts w:ascii="Traditional Arabic" w:eastAsia="Traditional Arabic" w:hAnsi="Traditional Arabic" w:cs="Traditional Arabic"/>
          <w:color w:val="262626"/>
          <w:sz w:val="24"/>
          <w:szCs w:val="24"/>
          <w:rtl/>
        </w:rPr>
        <w:t>Stichting</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Bureau</w:t>
      </w:r>
      <w:proofErr w:type="spellEnd"/>
      <w:r>
        <w:rPr>
          <w:rFonts w:ascii="Traditional Arabic" w:eastAsia="Traditional Arabic" w:hAnsi="Traditional Arabic" w:cs="Traditional Arabic"/>
          <w:color w:val="262626"/>
          <w:sz w:val="24"/>
          <w:szCs w:val="24"/>
          <w:rtl/>
        </w:rPr>
        <w:t xml:space="preserve"> </w:t>
      </w:r>
      <w:proofErr w:type="spellStart"/>
      <w:r>
        <w:rPr>
          <w:rFonts w:ascii="Traditional Arabic" w:eastAsia="Traditional Arabic" w:hAnsi="Traditional Arabic" w:cs="Traditional Arabic"/>
          <w:color w:val="262626"/>
          <w:sz w:val="24"/>
          <w:szCs w:val="24"/>
          <w:rtl/>
        </w:rPr>
        <w:t>Ensemble</w:t>
      </w:r>
      <w:proofErr w:type="spellEnd"/>
      <w:r>
        <w:rPr>
          <w:rFonts w:ascii="Traditional Arabic" w:eastAsia="Traditional Arabic" w:hAnsi="Traditional Arabic" w:cs="Traditional Arabic"/>
          <w:color w:val="262626"/>
          <w:sz w:val="24"/>
          <w:szCs w:val="24"/>
          <w:rtl/>
        </w:rPr>
        <w:t xml:space="preserve"> — [العناوين/جهات الاتصال تُحدَّد لاحقًا]</w:t>
      </w:r>
    </w:p>
    <w:sectPr w:rsidR="00202FEC">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40D9A"/>
    <w:multiLevelType w:val="hybridMultilevel"/>
    <w:tmpl w:val="F126CFB0"/>
    <w:lvl w:ilvl="0" w:tplc="11A6931A">
      <w:start w:val="1"/>
      <w:numFmt w:val="bullet"/>
      <w:lvlText w:val="•"/>
      <w:lvlJc w:val="right"/>
      <w:pPr>
        <w:ind w:right="360" w:hanging="260"/>
      </w:pPr>
    </w:lvl>
    <w:lvl w:ilvl="1" w:tplc="B5E82AF2">
      <w:numFmt w:val="decimal"/>
      <w:lvlText w:val=""/>
      <w:lvlJc w:val="left"/>
    </w:lvl>
    <w:lvl w:ilvl="2" w:tplc="DB76D906">
      <w:numFmt w:val="decimal"/>
      <w:lvlText w:val=""/>
      <w:lvlJc w:val="left"/>
    </w:lvl>
    <w:lvl w:ilvl="3" w:tplc="3ACE53C6">
      <w:numFmt w:val="decimal"/>
      <w:lvlText w:val=""/>
      <w:lvlJc w:val="left"/>
    </w:lvl>
    <w:lvl w:ilvl="4" w:tplc="43882CA0">
      <w:numFmt w:val="decimal"/>
      <w:lvlText w:val=""/>
      <w:lvlJc w:val="left"/>
    </w:lvl>
    <w:lvl w:ilvl="5" w:tplc="594C385E">
      <w:numFmt w:val="decimal"/>
      <w:lvlText w:val=""/>
      <w:lvlJc w:val="left"/>
    </w:lvl>
    <w:lvl w:ilvl="6" w:tplc="F5DCA93C">
      <w:numFmt w:val="decimal"/>
      <w:lvlText w:val=""/>
      <w:lvlJc w:val="left"/>
    </w:lvl>
    <w:lvl w:ilvl="7" w:tplc="F824FE0A">
      <w:numFmt w:val="decimal"/>
      <w:lvlText w:val=""/>
      <w:lvlJc w:val="left"/>
    </w:lvl>
    <w:lvl w:ilvl="8" w:tplc="4DD08CDC">
      <w:numFmt w:val="decimal"/>
      <w:lvlText w:val=""/>
      <w:lvlJc w:val="left"/>
    </w:lvl>
  </w:abstractNum>
  <w:abstractNum w:abstractNumId="1" w15:restartNumberingAfterBreak="0">
    <w:nsid w:val="46735C7A"/>
    <w:multiLevelType w:val="hybridMultilevel"/>
    <w:tmpl w:val="F8CAEC96"/>
    <w:lvl w:ilvl="0" w:tplc="C5B07DE6">
      <w:start w:val="1"/>
      <w:numFmt w:val="bullet"/>
      <w:lvlText w:val="•"/>
      <w:lvlJc w:val="left"/>
      <w:pPr>
        <w:ind w:left="360" w:hanging="260"/>
      </w:pPr>
    </w:lvl>
    <w:lvl w:ilvl="1" w:tplc="82B60802">
      <w:numFmt w:val="decimal"/>
      <w:lvlText w:val=""/>
      <w:lvlJc w:val="left"/>
    </w:lvl>
    <w:lvl w:ilvl="2" w:tplc="9D346C8A">
      <w:numFmt w:val="decimal"/>
      <w:lvlText w:val=""/>
      <w:lvlJc w:val="left"/>
    </w:lvl>
    <w:lvl w:ilvl="3" w:tplc="71067CF0">
      <w:numFmt w:val="decimal"/>
      <w:lvlText w:val=""/>
      <w:lvlJc w:val="left"/>
    </w:lvl>
    <w:lvl w:ilvl="4" w:tplc="799A888E">
      <w:numFmt w:val="decimal"/>
      <w:lvlText w:val=""/>
      <w:lvlJc w:val="left"/>
    </w:lvl>
    <w:lvl w:ilvl="5" w:tplc="2DDCB500">
      <w:numFmt w:val="decimal"/>
      <w:lvlText w:val=""/>
      <w:lvlJc w:val="left"/>
    </w:lvl>
    <w:lvl w:ilvl="6" w:tplc="40A8DACE">
      <w:numFmt w:val="decimal"/>
      <w:lvlText w:val=""/>
      <w:lvlJc w:val="left"/>
    </w:lvl>
    <w:lvl w:ilvl="7" w:tplc="92D80EC6">
      <w:numFmt w:val="decimal"/>
      <w:lvlText w:val=""/>
      <w:lvlJc w:val="left"/>
    </w:lvl>
    <w:lvl w:ilvl="8" w:tplc="4064BE66">
      <w:numFmt w:val="decimal"/>
      <w:lvlText w:val=""/>
      <w:lvlJc w:val="left"/>
    </w:lvl>
  </w:abstractNum>
  <w:abstractNum w:abstractNumId="2" w15:restartNumberingAfterBreak="0">
    <w:nsid w:val="72962620"/>
    <w:multiLevelType w:val="hybridMultilevel"/>
    <w:tmpl w:val="824C054A"/>
    <w:lvl w:ilvl="0" w:tplc="2912F986">
      <w:start w:val="1"/>
      <w:numFmt w:val="bullet"/>
      <w:lvlText w:val="●"/>
      <w:lvlJc w:val="left"/>
      <w:pPr>
        <w:ind w:left="720" w:hanging="360"/>
      </w:pPr>
    </w:lvl>
    <w:lvl w:ilvl="1" w:tplc="547A2DEC">
      <w:start w:val="1"/>
      <w:numFmt w:val="bullet"/>
      <w:lvlText w:val="○"/>
      <w:lvlJc w:val="left"/>
      <w:pPr>
        <w:ind w:left="1440" w:hanging="360"/>
      </w:pPr>
    </w:lvl>
    <w:lvl w:ilvl="2" w:tplc="1DF8F5E6">
      <w:start w:val="1"/>
      <w:numFmt w:val="bullet"/>
      <w:lvlText w:val="■"/>
      <w:lvlJc w:val="left"/>
      <w:pPr>
        <w:ind w:left="2160" w:hanging="360"/>
      </w:pPr>
    </w:lvl>
    <w:lvl w:ilvl="3" w:tplc="0838C5EC">
      <w:start w:val="1"/>
      <w:numFmt w:val="bullet"/>
      <w:lvlText w:val="●"/>
      <w:lvlJc w:val="left"/>
      <w:pPr>
        <w:ind w:left="2880" w:hanging="360"/>
      </w:pPr>
    </w:lvl>
    <w:lvl w:ilvl="4" w:tplc="A426BB5E">
      <w:start w:val="1"/>
      <w:numFmt w:val="bullet"/>
      <w:lvlText w:val="○"/>
      <w:lvlJc w:val="left"/>
      <w:pPr>
        <w:ind w:left="3600" w:hanging="360"/>
      </w:pPr>
    </w:lvl>
    <w:lvl w:ilvl="5" w:tplc="AD982562">
      <w:start w:val="1"/>
      <w:numFmt w:val="bullet"/>
      <w:lvlText w:val="■"/>
      <w:lvlJc w:val="left"/>
      <w:pPr>
        <w:ind w:left="4320" w:hanging="360"/>
      </w:pPr>
    </w:lvl>
    <w:lvl w:ilvl="6" w:tplc="A6A0B72C">
      <w:start w:val="1"/>
      <w:numFmt w:val="bullet"/>
      <w:lvlText w:val="●"/>
      <w:lvlJc w:val="left"/>
      <w:pPr>
        <w:ind w:left="5040" w:hanging="360"/>
      </w:pPr>
    </w:lvl>
    <w:lvl w:ilvl="7" w:tplc="97B2FC40">
      <w:start w:val="1"/>
      <w:numFmt w:val="bullet"/>
      <w:lvlText w:val="●"/>
      <w:lvlJc w:val="left"/>
      <w:pPr>
        <w:ind w:left="5760" w:hanging="360"/>
      </w:pPr>
    </w:lvl>
    <w:lvl w:ilvl="8" w:tplc="D56A0492">
      <w:start w:val="1"/>
      <w:numFmt w:val="bullet"/>
      <w:lvlText w:val="●"/>
      <w:lvlJc w:val="left"/>
      <w:pPr>
        <w:ind w:left="6480" w:hanging="360"/>
      </w:pPr>
    </w:lvl>
  </w:abstractNum>
  <w:num w:numId="1" w16cid:durableId="256792312">
    <w:abstractNumId w:val="2"/>
    <w:lvlOverride w:ilvl="0">
      <w:startOverride w:val="1"/>
    </w:lvlOverride>
  </w:num>
  <w:num w:numId="2" w16cid:durableId="1878353457">
    <w:abstractNumId w:val="1"/>
    <w:lvlOverride w:ilvl="0">
      <w:startOverride w:val="1"/>
    </w:lvlOverride>
  </w:num>
  <w:num w:numId="3" w16cid:durableId="10587441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FEC"/>
    <w:rsid w:val="00112E9B"/>
    <w:rsid w:val="00202FEC"/>
    <w:rsid w:val="00565BE2"/>
    <w:rsid w:val="005C3062"/>
    <w:rsid w:val="00744762"/>
  </w:rsids>
  <m:mathPr>
    <m:mathFont m:val="Cambria Math"/>
    <m:brkBin m:val="before"/>
    <m:brkBinSub m:val="--"/>
    <m:smallFrac m:val="0"/>
    <m:dispDef/>
    <m:lMargin m:val="0"/>
    <m:rMargin m:val="0"/>
    <m:defJc m:val="centerGroup"/>
    <m:wrapIndent m:val="1440"/>
    <m:intLim m:val="subSup"/>
    <m:naryLim m:val="undOvr"/>
  </m:mathPr>
  <w:themeFontLang w:val="en-LY" w:bidi="ar-SA"/>
  <w:clrSchemeMapping w:bg1="light1" w:t1="dark1" w:bg2="light2" w:t2="dark2" w:accent1="accent1" w:accent2="accent2" w:accent3="accent3" w:accent4="accent4" w:accent5="accent5" w:accent6="accent6" w:hyperlink="hyperlink" w:followedHyperlink="followedHyperlink"/>
  <w:decimalSymbol w:val=","/>
  <w:listSeparator w:val=","/>
  <w14:docId w14:val="7969CF6F"/>
  <w15:docId w15:val="{9F86EAAA-A404-0246-BEA5-A6A9319A8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L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2395</Words>
  <Characters>13653</Characters>
  <Application>Microsoft Office Word</Application>
  <DocSecurity>0</DocSecurity>
  <Lines>113</Lines>
  <Paragraphs>32</Paragraphs>
  <ScaleCrop>false</ScaleCrop>
  <Company/>
  <LinksUpToDate>false</LinksUpToDate>
  <CharactersWithSpaces>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DAHMANI</cp:lastModifiedBy>
  <cp:revision>2</cp:revision>
  <dcterms:created xsi:type="dcterms:W3CDTF">2026-09-09T08:07:00Z</dcterms:created>
  <dcterms:modified xsi:type="dcterms:W3CDTF">2026-09-09T08:07:00Z</dcterms:modified>
</cp:coreProperties>
</file>