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CD385" w14:textId="77777777" w:rsidR="00AF0F93" w:rsidRDefault="00000000">
      <w:pPr>
        <w:spacing w:after="40"/>
      </w:pPr>
      <w:r>
        <w:rPr>
          <w:b/>
          <w:bCs/>
          <w:color w:val="1F6F4A"/>
          <w:sz w:val="40"/>
          <w:szCs w:val="40"/>
        </w:rPr>
        <w:t>SHARP-ER WEBSITE</w:t>
      </w:r>
    </w:p>
    <w:p w14:paraId="6B2E13E0" w14:textId="7FA18A8D" w:rsidR="00AF0F93" w:rsidRDefault="00000000" w:rsidP="007400CA">
      <w:pPr>
        <w:spacing w:after="200"/>
      </w:pPr>
      <w:r>
        <w:rPr>
          <w:b/>
          <w:bCs/>
          <w:color w:val="222222"/>
          <w:sz w:val="28"/>
          <w:szCs w:val="28"/>
        </w:rPr>
        <w:t>Design Review &amp; Enhancement Recommendations</w:t>
      </w:r>
    </w:p>
    <w:p w14:paraId="61BD76A1" w14:textId="77777777" w:rsidR="00AF0F93" w:rsidRDefault="00000000">
      <w:pPr>
        <w:pStyle w:val="Heading1"/>
      </w:pPr>
      <w:r>
        <w:t>1. Purpose and Method</w:t>
      </w:r>
    </w:p>
    <w:p w14:paraId="3C7CDAE0" w14:textId="77777777" w:rsidR="00AF0F93" w:rsidRDefault="00000000">
      <w:pPr>
        <w:spacing w:after="160" w:line="300" w:lineRule="auto"/>
      </w:pPr>
      <w:r>
        <w:t>This note reviews the current state of the SHARP-ER website design in Figma against the scope defined in the project's Terms of Reference (ToR), to identify what is design-ready, what is missing, and what should be enhanced before the design is used as the basis for a developer proposal or build. It is written as a working input for the communications and consortium team, not as a formal procurement document.</w:t>
      </w:r>
    </w:p>
    <w:p w14:paraId="1CE59BCB" w14:textId="77777777" w:rsidR="00AF0F93" w:rsidRDefault="00000000">
      <w:pPr>
        <w:spacing w:after="160" w:line="300" w:lineRule="auto"/>
      </w:pPr>
      <w:r>
        <w:t>The review covers the Figma file's full canvas structure (screens, components, and assets pages), the visible screens (English and Arabic homepage concepts), and the component library, compared clause-by-clause against ToR Sections 3 (Scope of Work) and 4 (Deliverables).</w:t>
      </w:r>
    </w:p>
    <w:p w14:paraId="2F967B1C" w14:textId="77777777" w:rsidR="00AF0F93" w:rsidRDefault="00000000">
      <w:pPr>
        <w:pStyle w:val="Heading1"/>
      </w:pPr>
      <w:r>
        <w:t>2. Executive Summary</w:t>
      </w:r>
    </w:p>
    <w:p w14:paraId="3AFDBC23" w14:textId="77777777" w:rsidR="00AF0F93" w:rsidRDefault="00000000">
      <w:pPr>
        <w:spacing w:after="160" w:line="300" w:lineRule="auto"/>
      </w:pPr>
      <w:r>
        <w:t>The Figma file currently contains a homepage only — in two alternative visual directions, plus one Arabic version of one of them — built almost entirely around the legacy SHARP I/II programme (2019–2024) rather than the new SHARP-ER project this ToR is scoping. None of the ToR's other required sections (About, What We Do, Activities and Initiatives, Events Calendar, News and Updates, Resources and Publications, Knowledge Hub, Applications and Opportunities, Contact) have any design work yet, and none of the higher-value functional features the ToR asks bidders to price separately — the publication/filtering module, the registration and application system, interactive event management, or the knowledge hub — have any interaction design behind them.</w:t>
      </w:r>
    </w:p>
    <w:p w14:paraId="332751D3" w14:textId="72A80E00" w:rsidR="00AF0F93" w:rsidRDefault="00000000">
      <w:pPr>
        <w:spacing w:after="160" w:line="300" w:lineRule="auto"/>
      </w:pPr>
      <w:r>
        <w:t xml:space="preserve">This is a normal and healthy point to be at for a first creative concept, and the visual foundation itself is solid: clean typography, a credible component start (logo, buttons, navigation, footer, inputs, cards), and a strong photography-led direction. The risk is </w:t>
      </w:r>
      <w:r w:rsidR="007400CA">
        <w:t>Functional</w:t>
      </w:r>
      <w:r>
        <w:t>, not aesthetic</w:t>
      </w:r>
      <w:r w:rsidR="007400CA">
        <w:t xml:space="preserve"> ,</w:t>
      </w:r>
      <w:r>
        <w:t>The recommendations below are sequenced so the design can catch up to the ToR before it goes out for bids.</w:t>
      </w:r>
    </w:p>
    <w:p w14:paraId="067ACD98" w14:textId="77777777" w:rsidR="00AF0F93" w:rsidRDefault="00000000">
      <w:pPr>
        <w:pStyle w:val="Heading1"/>
      </w:pPr>
      <w:r>
        <w:t>3. What Currently Exists in the Figma File</w:t>
      </w:r>
    </w:p>
    <w:p w14:paraId="302DEDB4" w14:textId="77777777" w:rsidR="00AF0F93" w:rsidRDefault="00000000">
      <w:pPr>
        <w:pStyle w:val="Heading2"/>
      </w:pPr>
      <w:r>
        <w:t>3.1 Screens</w:t>
      </w:r>
    </w:p>
    <w:p w14:paraId="6D04CFAE" w14:textId="77777777" w:rsidR="00AF0F93" w:rsidRDefault="00000000">
      <w:pPr>
        <w:pStyle w:val="ListParagraph"/>
        <w:numPr>
          <w:ilvl w:val="0"/>
          <w:numId w:val="2"/>
        </w:numPr>
        <w:spacing w:after="80" w:line="280" w:lineRule="auto"/>
      </w:pPr>
      <w:r>
        <w:t>Two English homepage concepts (both labelled “Home-en”): Concept A uses a split hero with an “About the programme” text block, a stats strip, and a dark “Three mechanisms” section; Concept B uses a full-bleed photo hero with a bold headline treatment. Both scroll into the same CSO-network and “SHARP Legacy” content and share one footer design.</w:t>
      </w:r>
    </w:p>
    <w:p w14:paraId="6CA03660" w14:textId="15FBFA6A" w:rsidR="00AF0F93" w:rsidRDefault="00000000">
      <w:pPr>
        <w:pStyle w:val="ListParagraph"/>
        <w:numPr>
          <w:ilvl w:val="0"/>
          <w:numId w:val="2"/>
        </w:numPr>
        <w:spacing w:after="80" w:line="280" w:lineRule="auto"/>
      </w:pPr>
      <w:r>
        <w:t>One Arabic homepage (“Home-ar”), mirroring one of the English concepts in RTL layout</w:t>
      </w:r>
      <w:r w:rsidR="007400CA">
        <w:t>.</w:t>
      </w:r>
    </w:p>
    <w:p w14:paraId="5952FDEE" w14:textId="77777777" w:rsidR="00AF0F93" w:rsidRDefault="00000000">
      <w:pPr>
        <w:pStyle w:val="ListParagraph"/>
        <w:numPr>
          <w:ilvl w:val="0"/>
          <w:numId w:val="2"/>
        </w:numPr>
        <w:spacing w:after="80" w:line="280" w:lineRule="auto"/>
      </w:pPr>
      <w:r>
        <w:t>Two additional frames in the layers panel are empty or hidden, suggesting in-progress or abandoned iterations rather than additional finished pages.</w:t>
      </w:r>
    </w:p>
    <w:p w14:paraId="5FE47371" w14:textId="77777777" w:rsidR="00AF0F93" w:rsidRDefault="00000000">
      <w:pPr>
        <w:pStyle w:val="ListParagraph"/>
        <w:numPr>
          <w:ilvl w:val="0"/>
          <w:numId w:val="2"/>
        </w:numPr>
        <w:spacing w:after="80" w:line="280" w:lineRule="auto"/>
      </w:pPr>
      <w:r>
        <w:t>No wireframe, low-fidelity, or high-fidelity design exists yet for any page beyond the homepage.</w:t>
      </w:r>
    </w:p>
    <w:p w14:paraId="0749501D" w14:textId="77777777" w:rsidR="007400CA" w:rsidRDefault="007400CA" w:rsidP="007400CA">
      <w:pPr>
        <w:spacing w:after="80" w:line="280" w:lineRule="auto"/>
      </w:pPr>
    </w:p>
    <w:p w14:paraId="5A2DAA0A" w14:textId="77777777" w:rsidR="00AF0F93" w:rsidRDefault="00000000">
      <w:pPr>
        <w:pStyle w:val="Heading2"/>
      </w:pPr>
      <w:r>
        <w:t>3.2 Navigation and Information Architecture</w:t>
      </w:r>
    </w:p>
    <w:p w14:paraId="24E1225E" w14:textId="60C5BE18" w:rsidR="00AF0F93" w:rsidRDefault="00000000">
      <w:pPr>
        <w:spacing w:after="160" w:line="300" w:lineRule="auto"/>
      </w:pPr>
      <w:r>
        <w:lastRenderedPageBreak/>
        <w:t>Both concepts share one navigation bar: Home, About, Programme, Partners, Blog, Contact. There is no language switcher in the navigation and none of the ToR's required sections — Events Calendar, Resources and Publications, Knowledge Hub, or Applications and Opportunities — appear anywhere in the menu.</w:t>
      </w:r>
    </w:p>
    <w:p w14:paraId="6BF036BB" w14:textId="77777777" w:rsidR="00AF0F93" w:rsidRDefault="00000000">
      <w:pPr>
        <w:pStyle w:val="Heading2"/>
      </w:pPr>
      <w:r>
        <w:t>3.3 Content and Messaging</w:t>
      </w:r>
    </w:p>
    <w:p w14:paraId="797081D1" w14:textId="77777777" w:rsidR="00AF0F93" w:rsidRDefault="00000000">
      <w:pPr>
        <w:spacing w:after="160" w:line="300" w:lineRule="auto"/>
      </w:pPr>
      <w:r>
        <w:t>The homepage copy, statistics, and footer are written entirely in the voice of the closed SHARP I/II programme: past-tense narrative (“ran in two phases between 2019 and 2024”), a “The SHARP Legacy” closing section, and metrics from that programme (259 SUQ dialogues, 3.4M EU funding, 64 partner organisations, 24 certified trainers). The footer wordmark and tagline also read “SHARP – Shared Action on Rule of Law Progress,” not SHARP-ER. There is no content yet that introduces SHARP-ER's own objective, consortium (Acted, United Efforts Consultancy, Stichting Bureau Ensemble), or current activities as described in ToR Sections 1–2.</w:t>
      </w:r>
    </w:p>
    <w:p w14:paraId="6C311FB1" w14:textId="77777777" w:rsidR="00AF0F93" w:rsidRDefault="00000000">
      <w:pPr>
        <w:pStyle w:val="Heading2"/>
      </w:pPr>
      <w:r>
        <w:t>3.4 Component Library</w:t>
      </w:r>
    </w:p>
    <w:p w14:paraId="3399B161" w14:textId="1D1A8081" w:rsidR="00AF0F93" w:rsidRDefault="00000000">
      <w:pPr>
        <w:spacing w:after="160" w:line="300" w:lineRule="auto"/>
      </w:pPr>
      <w:r>
        <w:t>A components page exists with a reasonable starting kit: two logo lockups, a button set (multiple colour/state variants), a navigation component (light and dark, with a dropdown state), a footer component (light and dark, full sitemap columns plus a funding badge), an input component (including an error/validation state), and a card component (image plus text, suited to a blog or news listing).</w:t>
      </w:r>
    </w:p>
    <w:p w14:paraId="2A369541" w14:textId="77777777" w:rsidR="00AF0F93" w:rsidRDefault="00000000">
      <w:pPr>
        <w:pStyle w:val="Heading2"/>
      </w:pPr>
      <w:r>
        <w:t>3.5 Branding Elements</w:t>
      </w:r>
    </w:p>
    <w:p w14:paraId="0B08AF3D" w14:textId="77777777" w:rsidR="00AF0F93" w:rsidRDefault="00000000">
      <w:pPr>
        <w:spacing w:after="160" w:line="300" w:lineRule="auto"/>
      </w:pPr>
      <w:r>
        <w:t>An EU “Funded by the European Union” badge, an “Implemented by” partner-logo row, and a diagonal ribbon graphic in Libya’s flag colours are all present and reusable. These satisfy the spirit of ToR Section 3.7 (branding and visibility) but are currently attached to the old SHARP identity and will need to be re-anchored to SHARP-ER.</w:t>
      </w:r>
    </w:p>
    <w:p w14:paraId="67377BB8" w14:textId="77777777" w:rsidR="00AF0F93" w:rsidRDefault="00000000">
      <w:pPr>
        <w:pStyle w:val="Heading1"/>
      </w:pPr>
      <w:r>
        <w:t>4. Gap Analysis Against the ToR</w:t>
      </w:r>
    </w:p>
    <w:p w14:paraId="56922366" w14:textId="77777777" w:rsidR="00AF0F93" w:rsidRDefault="00000000">
      <w:pPr>
        <w:spacing w:after="160" w:line="300" w:lineRule="auto"/>
      </w:pPr>
      <w:r>
        <w:t>The table below maps the ToR's scope of work (Section 3) to what the Figma file currently shows.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600"/>
        <w:gridCol w:w="2600"/>
        <w:gridCol w:w="2900"/>
      </w:tblGrid>
      <w:tr w:rsidR="00AF0F93" w14:paraId="300B0562" w14:textId="77777777">
        <w:tblPrEx>
          <w:tblCellMar>
            <w:top w:w="0" w:type="dxa"/>
            <w:bottom w:w="0" w:type="dxa"/>
          </w:tblCellMar>
        </w:tblPrEx>
        <w:trPr>
          <w:tblHeader/>
        </w:trPr>
        <w:tc>
          <w:tcPr>
            <w:tcW w:w="1500" w:type="dxa"/>
            <w:shd w:val="clear" w:color="auto" w:fill="1F6F4A"/>
            <w:tcMar>
              <w:top w:w="100" w:type="dxa"/>
              <w:left w:w="120" w:type="dxa"/>
              <w:bottom w:w="100" w:type="dxa"/>
              <w:right w:w="120" w:type="dxa"/>
            </w:tcMar>
            <w:vAlign w:val="center"/>
          </w:tcPr>
          <w:p w14:paraId="3F64ECED" w14:textId="77777777" w:rsidR="00AF0F93" w:rsidRDefault="00000000">
            <w:r>
              <w:rPr>
                <w:b/>
                <w:bCs/>
                <w:color w:val="FFFFFF"/>
                <w:sz w:val="18"/>
                <w:szCs w:val="18"/>
              </w:rPr>
              <w:t>ToR Ref.</w:t>
            </w:r>
          </w:p>
        </w:tc>
        <w:tc>
          <w:tcPr>
            <w:tcW w:w="2600" w:type="dxa"/>
            <w:shd w:val="clear" w:color="auto" w:fill="1F6F4A"/>
            <w:tcMar>
              <w:top w:w="100" w:type="dxa"/>
              <w:left w:w="120" w:type="dxa"/>
              <w:bottom w:w="100" w:type="dxa"/>
              <w:right w:w="120" w:type="dxa"/>
            </w:tcMar>
            <w:vAlign w:val="center"/>
          </w:tcPr>
          <w:p w14:paraId="1DE21704" w14:textId="77777777" w:rsidR="00AF0F93" w:rsidRDefault="00000000">
            <w:r>
              <w:rPr>
                <w:b/>
                <w:bCs/>
                <w:color w:val="FFFFFF"/>
                <w:sz w:val="18"/>
                <w:szCs w:val="18"/>
              </w:rPr>
              <w:t>Requirement</w:t>
            </w:r>
          </w:p>
        </w:tc>
        <w:tc>
          <w:tcPr>
            <w:tcW w:w="2600" w:type="dxa"/>
            <w:shd w:val="clear" w:color="auto" w:fill="1F6F4A"/>
            <w:tcMar>
              <w:top w:w="100" w:type="dxa"/>
              <w:left w:w="120" w:type="dxa"/>
              <w:bottom w:w="100" w:type="dxa"/>
              <w:right w:w="120" w:type="dxa"/>
            </w:tcMar>
            <w:vAlign w:val="center"/>
          </w:tcPr>
          <w:p w14:paraId="0599C2E8" w14:textId="77777777" w:rsidR="00AF0F93" w:rsidRDefault="00000000">
            <w:r>
              <w:rPr>
                <w:b/>
                <w:bCs/>
                <w:color w:val="FFFFFF"/>
                <w:sz w:val="18"/>
                <w:szCs w:val="18"/>
              </w:rPr>
              <w:t>Current Figma Coverage</w:t>
            </w:r>
          </w:p>
        </w:tc>
        <w:tc>
          <w:tcPr>
            <w:tcW w:w="2900" w:type="dxa"/>
            <w:shd w:val="clear" w:color="auto" w:fill="1F6F4A"/>
            <w:tcMar>
              <w:top w:w="100" w:type="dxa"/>
              <w:left w:w="120" w:type="dxa"/>
              <w:bottom w:w="100" w:type="dxa"/>
              <w:right w:w="120" w:type="dxa"/>
            </w:tcMar>
            <w:vAlign w:val="center"/>
          </w:tcPr>
          <w:p w14:paraId="76D6F893" w14:textId="77777777" w:rsidR="00AF0F93" w:rsidRDefault="00000000">
            <w:r>
              <w:rPr>
                <w:b/>
                <w:bCs/>
                <w:color w:val="FFFFFF"/>
                <w:sz w:val="18"/>
                <w:szCs w:val="18"/>
              </w:rPr>
              <w:t>Gap / Recommendation</w:t>
            </w:r>
          </w:p>
        </w:tc>
      </w:tr>
      <w:tr w:rsidR="00AF0F93" w14:paraId="6409699D" w14:textId="77777777">
        <w:tblPrEx>
          <w:tblCellMar>
            <w:top w:w="0" w:type="dxa"/>
            <w:bottom w:w="0" w:type="dxa"/>
          </w:tblCellMar>
        </w:tblPrEx>
        <w:tc>
          <w:tcPr>
            <w:tcW w:w="1500" w:type="dxa"/>
            <w:shd w:val="clear" w:color="auto" w:fill="EAF3EE"/>
            <w:tcMar>
              <w:top w:w="100" w:type="dxa"/>
              <w:left w:w="120" w:type="dxa"/>
              <w:bottom w:w="100" w:type="dxa"/>
              <w:right w:w="120" w:type="dxa"/>
            </w:tcMar>
            <w:vAlign w:val="center"/>
          </w:tcPr>
          <w:p w14:paraId="31DA3C52" w14:textId="77777777" w:rsidR="00AF0F93" w:rsidRDefault="00000000">
            <w:r>
              <w:rPr>
                <w:b/>
                <w:bCs/>
                <w:color w:val="000000"/>
                <w:sz w:val="18"/>
                <w:szCs w:val="18"/>
              </w:rPr>
              <w:t>3.1</w:t>
            </w:r>
          </w:p>
        </w:tc>
        <w:tc>
          <w:tcPr>
            <w:tcW w:w="2600" w:type="dxa"/>
            <w:shd w:val="clear" w:color="auto" w:fill="EAF3EE"/>
            <w:tcMar>
              <w:top w:w="100" w:type="dxa"/>
              <w:left w:w="120" w:type="dxa"/>
              <w:bottom w:w="100" w:type="dxa"/>
              <w:right w:w="120" w:type="dxa"/>
            </w:tcMar>
            <w:vAlign w:val="center"/>
          </w:tcPr>
          <w:p w14:paraId="1C48E6B7" w14:textId="77777777" w:rsidR="00AF0F93" w:rsidRDefault="00000000">
            <w:r>
              <w:rPr>
                <w:sz w:val="18"/>
                <w:szCs w:val="18"/>
              </w:rPr>
              <w:t>Responsive, accessible design; EN/AR multilingual; CMS-ready</w:t>
            </w:r>
          </w:p>
        </w:tc>
        <w:tc>
          <w:tcPr>
            <w:tcW w:w="2600" w:type="dxa"/>
            <w:shd w:val="clear" w:color="auto" w:fill="EAF3EE"/>
            <w:tcMar>
              <w:top w:w="100" w:type="dxa"/>
              <w:left w:w="120" w:type="dxa"/>
              <w:bottom w:w="100" w:type="dxa"/>
              <w:right w:w="120" w:type="dxa"/>
            </w:tcMar>
            <w:vAlign w:val="center"/>
          </w:tcPr>
          <w:p w14:paraId="33C7B48D" w14:textId="77777777" w:rsidR="00AF0F93" w:rsidRDefault="00000000">
            <w:r>
              <w:rPr>
                <w:sz w:val="18"/>
                <w:szCs w:val="18"/>
              </w:rPr>
              <w:t>Desktop-width frames only (1440px); no tablet/mobile frames; AR done for one homepage only; no language-switcher component</w:t>
            </w:r>
          </w:p>
        </w:tc>
        <w:tc>
          <w:tcPr>
            <w:tcW w:w="2900" w:type="dxa"/>
            <w:shd w:val="clear" w:color="auto" w:fill="EAF3EE"/>
            <w:tcMar>
              <w:top w:w="100" w:type="dxa"/>
              <w:left w:w="120" w:type="dxa"/>
              <w:bottom w:w="100" w:type="dxa"/>
              <w:right w:w="120" w:type="dxa"/>
            </w:tcMar>
            <w:vAlign w:val="center"/>
          </w:tcPr>
          <w:p w14:paraId="0F66564C" w14:textId="77777777" w:rsidR="00AF0F93" w:rsidRDefault="00000000">
            <w:r>
              <w:rPr>
                <w:sz w:val="18"/>
                <w:szCs w:val="18"/>
              </w:rPr>
              <w:t>Add mobile breakpoints for key templates; design an EN/AR switcher; confirm whether AR is a parallel site or a per-page toggle before CMS structure is defined</w:t>
            </w:r>
          </w:p>
        </w:tc>
      </w:tr>
      <w:tr w:rsidR="00AF0F93" w14:paraId="3CE37EBD" w14:textId="77777777">
        <w:tblPrEx>
          <w:tblCellMar>
            <w:top w:w="0" w:type="dxa"/>
            <w:bottom w:w="0" w:type="dxa"/>
          </w:tblCellMar>
        </w:tblPrEx>
        <w:tc>
          <w:tcPr>
            <w:tcW w:w="1500" w:type="dxa"/>
            <w:tcMar>
              <w:top w:w="100" w:type="dxa"/>
              <w:left w:w="120" w:type="dxa"/>
              <w:bottom w:w="100" w:type="dxa"/>
              <w:right w:w="120" w:type="dxa"/>
            </w:tcMar>
            <w:vAlign w:val="center"/>
          </w:tcPr>
          <w:p w14:paraId="58259B3A" w14:textId="77777777" w:rsidR="00AF0F93" w:rsidRDefault="00000000">
            <w:r>
              <w:rPr>
                <w:b/>
                <w:bCs/>
                <w:color w:val="000000"/>
                <w:sz w:val="18"/>
                <w:szCs w:val="18"/>
              </w:rPr>
              <w:t>3.2</w:t>
            </w:r>
          </w:p>
        </w:tc>
        <w:tc>
          <w:tcPr>
            <w:tcW w:w="2600" w:type="dxa"/>
            <w:tcMar>
              <w:top w:w="100" w:type="dxa"/>
              <w:left w:w="120" w:type="dxa"/>
              <w:bottom w:w="100" w:type="dxa"/>
              <w:right w:w="120" w:type="dxa"/>
            </w:tcMar>
            <w:vAlign w:val="center"/>
          </w:tcPr>
          <w:p w14:paraId="35C0EF31" w14:textId="77777777" w:rsidR="00AF0F93" w:rsidRDefault="00000000">
            <w:r>
              <w:rPr>
                <w:sz w:val="18"/>
                <w:szCs w:val="18"/>
              </w:rPr>
              <w:t>10 sections: Home, About, What We Do, Activities &amp; Initiatives, Events Calendar, News &amp; Updates, Resources &amp; Publications, Knowledge Hub, Applications &amp; Opportunities, Contact</w:t>
            </w:r>
          </w:p>
        </w:tc>
        <w:tc>
          <w:tcPr>
            <w:tcW w:w="2600" w:type="dxa"/>
            <w:tcMar>
              <w:top w:w="100" w:type="dxa"/>
              <w:left w:w="120" w:type="dxa"/>
              <w:bottom w:w="100" w:type="dxa"/>
              <w:right w:w="120" w:type="dxa"/>
            </w:tcMar>
            <w:vAlign w:val="center"/>
          </w:tcPr>
          <w:p w14:paraId="45A4EC96" w14:textId="77777777" w:rsidR="00AF0F93" w:rsidRDefault="00000000">
            <w:r>
              <w:rPr>
                <w:sz w:val="18"/>
                <w:szCs w:val="18"/>
              </w:rPr>
              <w:t>Only Home is designed (in two concepts)</w:t>
            </w:r>
          </w:p>
        </w:tc>
        <w:tc>
          <w:tcPr>
            <w:tcW w:w="2900" w:type="dxa"/>
            <w:tcMar>
              <w:top w:w="100" w:type="dxa"/>
              <w:left w:w="120" w:type="dxa"/>
              <w:bottom w:w="100" w:type="dxa"/>
              <w:right w:w="120" w:type="dxa"/>
            </w:tcMar>
            <w:vAlign w:val="center"/>
          </w:tcPr>
          <w:p w14:paraId="631522C3" w14:textId="77777777" w:rsidR="00AF0F93" w:rsidRDefault="00000000">
            <w:r>
              <w:rPr>
                <w:sz w:val="18"/>
                <w:szCs w:val="18"/>
              </w:rPr>
              <w:t>Design the remaining 9 sections; this is the single largest open item</w:t>
            </w:r>
          </w:p>
        </w:tc>
      </w:tr>
      <w:tr w:rsidR="00AF0F93" w14:paraId="7440568A" w14:textId="77777777">
        <w:tblPrEx>
          <w:tblCellMar>
            <w:top w:w="0" w:type="dxa"/>
            <w:bottom w:w="0" w:type="dxa"/>
          </w:tblCellMar>
        </w:tblPrEx>
        <w:tc>
          <w:tcPr>
            <w:tcW w:w="1500" w:type="dxa"/>
            <w:shd w:val="clear" w:color="auto" w:fill="EAF3EE"/>
            <w:tcMar>
              <w:top w:w="100" w:type="dxa"/>
              <w:left w:w="120" w:type="dxa"/>
              <w:bottom w:w="100" w:type="dxa"/>
              <w:right w:w="120" w:type="dxa"/>
            </w:tcMar>
            <w:vAlign w:val="center"/>
          </w:tcPr>
          <w:p w14:paraId="7E81E1B6" w14:textId="77777777" w:rsidR="00AF0F93" w:rsidRDefault="00000000">
            <w:r>
              <w:rPr>
                <w:b/>
                <w:bCs/>
                <w:color w:val="000000"/>
                <w:sz w:val="18"/>
                <w:szCs w:val="18"/>
              </w:rPr>
              <w:t>3.3</w:t>
            </w:r>
          </w:p>
        </w:tc>
        <w:tc>
          <w:tcPr>
            <w:tcW w:w="2600" w:type="dxa"/>
            <w:shd w:val="clear" w:color="auto" w:fill="EAF3EE"/>
            <w:tcMar>
              <w:top w:w="100" w:type="dxa"/>
              <w:left w:w="120" w:type="dxa"/>
              <w:bottom w:w="100" w:type="dxa"/>
              <w:right w:w="120" w:type="dxa"/>
            </w:tcMar>
            <w:vAlign w:val="center"/>
          </w:tcPr>
          <w:p w14:paraId="57BD0724" w14:textId="77777777" w:rsidR="00AF0F93" w:rsidRDefault="00000000">
            <w:r>
              <w:rPr>
                <w:sz w:val="18"/>
                <w:szCs w:val="18"/>
              </w:rPr>
              <w:t xml:space="preserve">Publication module with filtering (topic/date/author/partner); application/registration with acknowledgment; event registration, calendar sync, reminders, waitlisting; </w:t>
            </w:r>
            <w:r>
              <w:rPr>
                <w:sz w:val="18"/>
                <w:szCs w:val="18"/>
              </w:rPr>
              <w:lastRenderedPageBreak/>
              <w:t>knowledge hub with search/metadata</w:t>
            </w:r>
          </w:p>
        </w:tc>
        <w:tc>
          <w:tcPr>
            <w:tcW w:w="2600" w:type="dxa"/>
            <w:shd w:val="clear" w:color="auto" w:fill="EAF3EE"/>
            <w:tcMar>
              <w:top w:w="100" w:type="dxa"/>
              <w:left w:w="120" w:type="dxa"/>
              <w:bottom w:w="100" w:type="dxa"/>
              <w:right w:w="120" w:type="dxa"/>
            </w:tcMar>
            <w:vAlign w:val="center"/>
          </w:tcPr>
          <w:p w14:paraId="09C7CBDE" w14:textId="77777777" w:rsidR="00AF0F93" w:rsidRDefault="00000000">
            <w:r>
              <w:rPr>
                <w:sz w:val="18"/>
                <w:szCs w:val="18"/>
              </w:rPr>
              <w:lastRenderedPageBreak/>
              <w:t>No filter UI, form flows, calendar widgets, or search patterns exist anywhere in the file</w:t>
            </w:r>
          </w:p>
        </w:tc>
        <w:tc>
          <w:tcPr>
            <w:tcW w:w="2900" w:type="dxa"/>
            <w:shd w:val="clear" w:color="auto" w:fill="EAF3EE"/>
            <w:tcMar>
              <w:top w:w="100" w:type="dxa"/>
              <w:left w:w="120" w:type="dxa"/>
              <w:bottom w:w="100" w:type="dxa"/>
              <w:right w:w="120" w:type="dxa"/>
            </w:tcMar>
            <w:vAlign w:val="center"/>
          </w:tcPr>
          <w:p w14:paraId="50E4CAAE" w14:textId="77777777" w:rsidR="00AF0F93" w:rsidRDefault="00000000">
            <w:r>
              <w:rPr>
                <w:sz w:val="18"/>
                <w:szCs w:val="18"/>
              </w:rPr>
              <w:t>These are the ToR's highest-value, separately-priced features (see Section 9 of the ToR) — they need dedicated interaction design before a developer can scope or cost them</w:t>
            </w:r>
          </w:p>
        </w:tc>
      </w:tr>
      <w:tr w:rsidR="00AF0F93" w14:paraId="06BAD2B0" w14:textId="77777777">
        <w:tblPrEx>
          <w:tblCellMar>
            <w:top w:w="0" w:type="dxa"/>
            <w:bottom w:w="0" w:type="dxa"/>
          </w:tblCellMar>
        </w:tblPrEx>
        <w:tc>
          <w:tcPr>
            <w:tcW w:w="1500" w:type="dxa"/>
            <w:tcMar>
              <w:top w:w="100" w:type="dxa"/>
              <w:left w:w="120" w:type="dxa"/>
              <w:bottom w:w="100" w:type="dxa"/>
              <w:right w:w="120" w:type="dxa"/>
            </w:tcMar>
            <w:vAlign w:val="center"/>
          </w:tcPr>
          <w:p w14:paraId="6344EA76" w14:textId="77777777" w:rsidR="00AF0F93" w:rsidRDefault="00000000">
            <w:r>
              <w:rPr>
                <w:b/>
                <w:bCs/>
                <w:color w:val="000000"/>
                <w:sz w:val="18"/>
                <w:szCs w:val="18"/>
              </w:rPr>
              <w:lastRenderedPageBreak/>
              <w:t>3.4</w:t>
            </w:r>
          </w:p>
        </w:tc>
        <w:tc>
          <w:tcPr>
            <w:tcW w:w="2600" w:type="dxa"/>
            <w:tcMar>
              <w:top w:w="100" w:type="dxa"/>
              <w:left w:w="120" w:type="dxa"/>
              <w:bottom w:w="100" w:type="dxa"/>
              <w:right w:w="120" w:type="dxa"/>
            </w:tcMar>
            <w:vAlign w:val="center"/>
          </w:tcPr>
          <w:p w14:paraId="65E39425" w14:textId="77777777" w:rsidR="00AF0F93" w:rsidRDefault="00000000">
            <w:r>
              <w:rPr>
                <w:sz w:val="18"/>
                <w:szCs w:val="18"/>
              </w:rPr>
              <w:t>Consistent layout, formatted/optimised content</w:t>
            </w:r>
          </w:p>
        </w:tc>
        <w:tc>
          <w:tcPr>
            <w:tcW w:w="2600" w:type="dxa"/>
            <w:tcMar>
              <w:top w:w="100" w:type="dxa"/>
              <w:left w:w="120" w:type="dxa"/>
              <w:bottom w:w="100" w:type="dxa"/>
              <w:right w:w="120" w:type="dxa"/>
            </w:tcMar>
            <w:vAlign w:val="center"/>
          </w:tcPr>
          <w:p w14:paraId="66B74321" w14:textId="77777777" w:rsidR="00AF0F93" w:rsidRDefault="00000000">
            <w:r>
              <w:rPr>
                <w:sz w:val="18"/>
                <w:szCs w:val="18"/>
              </w:rPr>
              <w:t>Current content is legacy SHARP text and photography reused as placeholder</w:t>
            </w:r>
          </w:p>
        </w:tc>
        <w:tc>
          <w:tcPr>
            <w:tcW w:w="2900" w:type="dxa"/>
            <w:tcMar>
              <w:top w:w="100" w:type="dxa"/>
              <w:left w:w="120" w:type="dxa"/>
              <w:bottom w:w="100" w:type="dxa"/>
              <w:right w:w="120" w:type="dxa"/>
            </w:tcMar>
            <w:vAlign w:val="center"/>
          </w:tcPr>
          <w:p w14:paraId="1F973437" w14:textId="77777777" w:rsidR="00AF0F93" w:rsidRDefault="00000000">
            <w:r>
              <w:rPr>
                <w:sz w:val="18"/>
                <w:szCs w:val="18"/>
              </w:rPr>
              <w:t>Replace with SHARP-ER content once available; keep the component structure so real content can drop in</w:t>
            </w:r>
          </w:p>
        </w:tc>
      </w:tr>
      <w:tr w:rsidR="00AF0F93" w14:paraId="20D3D2C9" w14:textId="77777777">
        <w:tblPrEx>
          <w:tblCellMar>
            <w:top w:w="0" w:type="dxa"/>
            <w:bottom w:w="0" w:type="dxa"/>
          </w:tblCellMar>
        </w:tblPrEx>
        <w:tc>
          <w:tcPr>
            <w:tcW w:w="1500" w:type="dxa"/>
            <w:shd w:val="clear" w:color="auto" w:fill="EAF3EE"/>
            <w:tcMar>
              <w:top w:w="100" w:type="dxa"/>
              <w:left w:w="120" w:type="dxa"/>
              <w:bottom w:w="100" w:type="dxa"/>
              <w:right w:w="120" w:type="dxa"/>
            </w:tcMar>
            <w:vAlign w:val="center"/>
          </w:tcPr>
          <w:p w14:paraId="48315FF6" w14:textId="77777777" w:rsidR="00AF0F93" w:rsidRDefault="00000000">
            <w:r>
              <w:rPr>
                <w:b/>
                <w:bCs/>
                <w:color w:val="000000"/>
                <w:sz w:val="18"/>
                <w:szCs w:val="18"/>
              </w:rPr>
              <w:t>3.6</w:t>
            </w:r>
          </w:p>
        </w:tc>
        <w:tc>
          <w:tcPr>
            <w:tcW w:w="2600" w:type="dxa"/>
            <w:shd w:val="clear" w:color="auto" w:fill="EAF3EE"/>
            <w:tcMar>
              <w:top w:w="100" w:type="dxa"/>
              <w:left w:w="120" w:type="dxa"/>
              <w:bottom w:w="100" w:type="dxa"/>
              <w:right w:w="120" w:type="dxa"/>
            </w:tcMar>
            <w:vAlign w:val="center"/>
          </w:tcPr>
          <w:p w14:paraId="293B38C9" w14:textId="77777777" w:rsidR="00AF0F93" w:rsidRDefault="00000000">
            <w:r>
              <w:rPr>
                <w:sz w:val="18"/>
                <w:szCs w:val="18"/>
              </w:rPr>
              <w:t>SEO-friendly structure, analytics, mobile responsiveness, basic accessibility</w:t>
            </w:r>
          </w:p>
        </w:tc>
        <w:tc>
          <w:tcPr>
            <w:tcW w:w="2600" w:type="dxa"/>
            <w:shd w:val="clear" w:color="auto" w:fill="EAF3EE"/>
            <w:tcMar>
              <w:top w:w="100" w:type="dxa"/>
              <w:left w:w="120" w:type="dxa"/>
              <w:bottom w:w="100" w:type="dxa"/>
              <w:right w:w="120" w:type="dxa"/>
            </w:tcMar>
            <w:vAlign w:val="center"/>
          </w:tcPr>
          <w:p w14:paraId="5FFE3762" w14:textId="77777777" w:rsidR="00AF0F93" w:rsidRDefault="00000000">
            <w:r>
              <w:rPr>
                <w:sz w:val="18"/>
                <w:szCs w:val="18"/>
              </w:rPr>
              <w:t>Not assessable from a homepage-only, desktop-only file; some dark-section text (e.g. muted captions) looks low-contrast</w:t>
            </w:r>
          </w:p>
        </w:tc>
        <w:tc>
          <w:tcPr>
            <w:tcW w:w="2900" w:type="dxa"/>
            <w:shd w:val="clear" w:color="auto" w:fill="EAF3EE"/>
            <w:tcMar>
              <w:top w:w="100" w:type="dxa"/>
              <w:left w:w="120" w:type="dxa"/>
              <w:bottom w:w="100" w:type="dxa"/>
              <w:right w:w="120" w:type="dxa"/>
            </w:tcMar>
            <w:vAlign w:val="center"/>
          </w:tcPr>
          <w:p w14:paraId="369F8591" w14:textId="77777777" w:rsidR="00AF0F93" w:rsidRDefault="00000000">
            <w:r>
              <w:rPr>
                <w:sz w:val="18"/>
                <w:szCs w:val="18"/>
              </w:rPr>
              <w:t>Run a contrast check (WCAG AA) once palette is finalised; confirm heading structure supports SEO once page templates exist</w:t>
            </w:r>
          </w:p>
        </w:tc>
      </w:tr>
      <w:tr w:rsidR="00AF0F93" w14:paraId="1C35737E" w14:textId="77777777">
        <w:tblPrEx>
          <w:tblCellMar>
            <w:top w:w="0" w:type="dxa"/>
            <w:bottom w:w="0" w:type="dxa"/>
          </w:tblCellMar>
        </w:tblPrEx>
        <w:tc>
          <w:tcPr>
            <w:tcW w:w="1500" w:type="dxa"/>
            <w:tcMar>
              <w:top w:w="100" w:type="dxa"/>
              <w:left w:w="120" w:type="dxa"/>
              <w:bottom w:w="100" w:type="dxa"/>
              <w:right w:w="120" w:type="dxa"/>
            </w:tcMar>
            <w:vAlign w:val="center"/>
          </w:tcPr>
          <w:p w14:paraId="794A2AF4" w14:textId="77777777" w:rsidR="00AF0F93" w:rsidRDefault="00000000">
            <w:r>
              <w:rPr>
                <w:b/>
                <w:bCs/>
                <w:color w:val="000000"/>
                <w:sz w:val="18"/>
                <w:szCs w:val="18"/>
              </w:rPr>
              <w:t>3.7</w:t>
            </w:r>
          </w:p>
        </w:tc>
        <w:tc>
          <w:tcPr>
            <w:tcW w:w="2600" w:type="dxa"/>
            <w:tcMar>
              <w:top w:w="100" w:type="dxa"/>
              <w:left w:w="120" w:type="dxa"/>
              <w:bottom w:w="100" w:type="dxa"/>
              <w:right w:w="120" w:type="dxa"/>
            </w:tcMar>
            <w:vAlign w:val="center"/>
          </w:tcPr>
          <w:p w14:paraId="2D5ECCDA" w14:textId="77777777" w:rsidR="00AF0F93" w:rsidRDefault="00000000">
            <w:r>
              <w:rPr>
                <w:sz w:val="18"/>
                <w:szCs w:val="18"/>
              </w:rPr>
              <w:t>Integration of project branding and partner visibility</w:t>
            </w:r>
          </w:p>
        </w:tc>
        <w:tc>
          <w:tcPr>
            <w:tcW w:w="2600" w:type="dxa"/>
            <w:tcMar>
              <w:top w:w="100" w:type="dxa"/>
              <w:left w:w="120" w:type="dxa"/>
              <w:bottom w:w="100" w:type="dxa"/>
              <w:right w:w="120" w:type="dxa"/>
            </w:tcMar>
            <w:vAlign w:val="center"/>
          </w:tcPr>
          <w:p w14:paraId="28E58490" w14:textId="77777777" w:rsidR="00AF0F93" w:rsidRDefault="00000000">
            <w:r>
              <w:rPr>
                <w:sz w:val="18"/>
                <w:szCs w:val="18"/>
              </w:rPr>
              <w:t>EU badge, partner-logo row, and Libya-colour motif exist and are reusable</w:t>
            </w:r>
          </w:p>
        </w:tc>
        <w:tc>
          <w:tcPr>
            <w:tcW w:w="2900" w:type="dxa"/>
            <w:tcMar>
              <w:top w:w="100" w:type="dxa"/>
              <w:left w:w="120" w:type="dxa"/>
              <w:bottom w:w="100" w:type="dxa"/>
              <w:right w:w="120" w:type="dxa"/>
            </w:tcMar>
            <w:vAlign w:val="center"/>
          </w:tcPr>
          <w:p w14:paraId="081B5917" w14:textId="77777777" w:rsidR="00AF0F93" w:rsidRDefault="00000000">
            <w:r>
              <w:rPr>
                <w:sz w:val="18"/>
                <w:szCs w:val="18"/>
              </w:rPr>
              <w:t>Re-brand from SHARP to SHARP-ER (logo, wordmark, footer copy); otherwise ready</w:t>
            </w:r>
          </w:p>
        </w:tc>
      </w:tr>
    </w:tbl>
    <w:p w14:paraId="499C5BB9" w14:textId="77777777" w:rsidR="00AF0F93" w:rsidRDefault="00AF0F93">
      <w:pPr>
        <w:spacing w:before="200"/>
      </w:pPr>
    </w:p>
    <w:p w14:paraId="0E77B5D5" w14:textId="77777777" w:rsidR="00AF0F93" w:rsidRDefault="00000000">
      <w:pPr>
        <w:pStyle w:val="Heading1"/>
      </w:pPr>
      <w:r>
        <w:t>5. Critical Issues and Risks</w:t>
      </w:r>
    </w:p>
    <w:p w14:paraId="218755E4" w14:textId="77777777" w:rsidR="00AF0F93" w:rsidRDefault="00000000">
      <w:pPr>
        <w:pStyle w:val="ListParagraph"/>
        <w:numPr>
          <w:ilvl w:val="0"/>
          <w:numId w:val="2"/>
        </w:numPr>
        <w:spacing w:after="80" w:line="280" w:lineRule="auto"/>
      </w:pPr>
      <w:r>
        <w:rPr>
          <w:b/>
          <w:bCs/>
        </w:rPr>
        <w:t xml:space="preserve">Brand and name mismatch. </w:t>
      </w:r>
      <w:r>
        <w:t>The entire design — nav, footer, hero copy, statistics, and the closing “Legacy” section — is built for the concluded SHARP I/II programme (2019–2024), not the SHARP-ER project this ToR is for. This needs a full content and identity refresh, not a copy edit, before it can represent the current project.</w:t>
      </w:r>
    </w:p>
    <w:p w14:paraId="5FF6D76E" w14:textId="77777777" w:rsidR="00AF0F93" w:rsidRDefault="00000000">
      <w:pPr>
        <w:pStyle w:val="ListParagraph"/>
        <w:numPr>
          <w:ilvl w:val="0"/>
          <w:numId w:val="2"/>
        </w:numPr>
        <w:spacing w:after="80" w:line="280" w:lineRule="auto"/>
      </w:pPr>
      <w:r>
        <w:rPr>
          <w:b/>
          <w:bCs/>
        </w:rPr>
        <w:t xml:space="preserve">Scope coverage. </w:t>
      </w:r>
      <w:r>
        <w:t>9 of the ToR's 10 required top-level sections have no design work. Sharing the current file as “the website design” would materially understate the remaining effort to any stakeholder scoping timeline or budget against it.</w:t>
      </w:r>
    </w:p>
    <w:p w14:paraId="1BB37B5E" w14:textId="3B0185D6" w:rsidR="00AF0F93" w:rsidRDefault="00000000" w:rsidP="007400CA">
      <w:pPr>
        <w:pStyle w:val="ListParagraph"/>
        <w:numPr>
          <w:ilvl w:val="0"/>
          <w:numId w:val="2"/>
        </w:numPr>
        <w:spacing w:after="80" w:line="280" w:lineRule="auto"/>
      </w:pPr>
      <w:r>
        <w:rPr>
          <w:b/>
          <w:bCs/>
        </w:rPr>
        <w:t xml:space="preserve">No interaction design for the priced features. </w:t>
      </w:r>
      <w:r>
        <w:t xml:space="preserve">The application/registration system, event management with calendar sync, resources filtering, and knowledge hub </w:t>
      </w:r>
      <w:r w:rsidR="007400CA">
        <w:t>.</w:t>
      </w:r>
    </w:p>
    <w:p w14:paraId="4F9087E9" w14:textId="77777777" w:rsidR="00AF0F93" w:rsidRDefault="00000000">
      <w:pPr>
        <w:pStyle w:val="ListParagraph"/>
        <w:numPr>
          <w:ilvl w:val="0"/>
          <w:numId w:val="2"/>
        </w:numPr>
        <w:spacing w:after="80" w:line="280" w:lineRule="auto"/>
      </w:pPr>
      <w:r>
        <w:rPr>
          <w:b/>
          <w:bCs/>
        </w:rPr>
        <w:t xml:space="preserve">No mobile design. </w:t>
      </w:r>
      <w:r>
        <w:t>The ToR explicitly requires mobile responsiveness; without at least one responsive reference frame, developers will make ad hoc layout decisions that are expensive to correct after build.</w:t>
      </w:r>
    </w:p>
    <w:p w14:paraId="76BAC969" w14:textId="77777777" w:rsidR="00AF0F93" w:rsidRDefault="00000000">
      <w:pPr>
        <w:pStyle w:val="ListParagraph"/>
        <w:numPr>
          <w:ilvl w:val="0"/>
          <w:numId w:val="2"/>
        </w:numPr>
        <w:spacing w:after="80" w:line="280" w:lineRule="auto"/>
      </w:pPr>
      <w:r>
        <w:rPr>
          <w:b/>
          <w:bCs/>
        </w:rPr>
        <w:t xml:space="preserve">Incomplete multilingual approach. </w:t>
      </w:r>
      <w:r>
        <w:t>Arabic exists for one homepage only, with no visible language switcher. Whether AR will be a fully parallel site or a language layer over shared templates changes the CMS content model and should be decided now, not during development.</w:t>
      </w:r>
    </w:p>
    <w:p w14:paraId="76CDC431" w14:textId="77777777" w:rsidR="00AF0F93" w:rsidRDefault="00000000">
      <w:pPr>
        <w:pStyle w:val="ListParagraph"/>
        <w:numPr>
          <w:ilvl w:val="0"/>
          <w:numId w:val="2"/>
        </w:numPr>
        <w:spacing w:after="80" w:line="280" w:lineRule="auto"/>
      </w:pPr>
      <w:r>
        <w:rPr>
          <w:b/>
          <w:bCs/>
        </w:rPr>
        <w:t xml:space="preserve">Unverified accessibility. </w:t>
      </w:r>
      <w:r>
        <w:t>Several dark-background sections use small, muted grey text (e.g. section eyebrows, captions) that should be checked against WCAG AA contrast minimums once the palette is finalised.</w:t>
      </w:r>
    </w:p>
    <w:p w14:paraId="54234D04" w14:textId="77777777" w:rsidR="007400CA" w:rsidRDefault="007400CA">
      <w:pPr>
        <w:pStyle w:val="Heading1"/>
      </w:pPr>
    </w:p>
    <w:p w14:paraId="00B16A04" w14:textId="77777777" w:rsidR="007400CA" w:rsidRDefault="007400CA">
      <w:pPr>
        <w:pStyle w:val="Heading1"/>
      </w:pPr>
    </w:p>
    <w:p w14:paraId="0637227D" w14:textId="77777777" w:rsidR="007400CA" w:rsidRDefault="007400CA">
      <w:pPr>
        <w:pStyle w:val="Heading1"/>
      </w:pPr>
    </w:p>
    <w:p w14:paraId="4DEB0CA9" w14:textId="77777777" w:rsidR="005A0304" w:rsidRDefault="005A0304">
      <w:pPr>
        <w:pStyle w:val="Heading1"/>
      </w:pPr>
    </w:p>
    <w:p w14:paraId="61FDA88B" w14:textId="313CD7FF" w:rsidR="00AF0F93" w:rsidRDefault="00000000">
      <w:pPr>
        <w:pStyle w:val="Heading1"/>
      </w:pPr>
      <w:r>
        <w:lastRenderedPageBreak/>
        <w:t>6. Recommendations</w:t>
      </w:r>
    </w:p>
    <w:p w14:paraId="5B37BBCE" w14:textId="30394ADE" w:rsidR="00AF0F93" w:rsidRDefault="00000000">
      <w:pPr>
        <w:pStyle w:val="Heading2"/>
      </w:pPr>
      <w:r>
        <w:t xml:space="preserve">6.1 Immediate </w:t>
      </w:r>
    </w:p>
    <w:p w14:paraId="406E666A" w14:textId="77777777" w:rsidR="00AF0F93" w:rsidRDefault="00000000" w:rsidP="007400CA">
      <w:pPr>
        <w:pStyle w:val="ListParagraph"/>
        <w:numPr>
          <w:ilvl w:val="0"/>
          <w:numId w:val="7"/>
        </w:numPr>
        <w:spacing w:after="100" w:line="280" w:lineRule="auto"/>
      </w:pPr>
      <w:r>
        <w:t>Rewrite the homepage narrative, statistics, and footer for SHARP-ER — the current objective, the Acted / United Efforts Consultancy / Stichting Bureau Ensemble consortium, and present-tense framing — rather than the closed SHARP I/II story. If SHARP's legacy should still appear, scope it down to a single “Building on SHARP” module rather than the whole homepage identity.</w:t>
      </w:r>
    </w:p>
    <w:p w14:paraId="6CCA2ED8" w14:textId="77777777" w:rsidR="00AF0F93" w:rsidRDefault="00000000" w:rsidP="007400CA">
      <w:pPr>
        <w:pStyle w:val="ListParagraph"/>
        <w:numPr>
          <w:ilvl w:val="0"/>
          <w:numId w:val="7"/>
        </w:numPr>
        <w:spacing w:after="100" w:line="280" w:lineRule="auto"/>
      </w:pPr>
      <w:r>
        <w:t>Add a language-switcher component to the navigation set and decide the EN/AR structural model (parallel site vs. per-page toggle).</w:t>
      </w:r>
    </w:p>
    <w:p w14:paraId="2373FECB" w14:textId="77777777" w:rsidR="00AF0F93" w:rsidRDefault="00000000">
      <w:pPr>
        <w:pStyle w:val="Heading2"/>
      </w:pPr>
      <w:r>
        <w:t>6.2 Short-term — completing the design phase</w:t>
      </w:r>
    </w:p>
    <w:p w14:paraId="340281FF" w14:textId="77777777" w:rsidR="00AF0F93" w:rsidRDefault="00000000" w:rsidP="007400CA">
      <w:pPr>
        <w:pStyle w:val="ListParagraph"/>
        <w:numPr>
          <w:ilvl w:val="0"/>
          <w:numId w:val="6"/>
        </w:numPr>
        <w:spacing w:after="100" w:line="280" w:lineRule="auto"/>
      </w:pPr>
      <w:r>
        <w:t>Design the remaining eight pages: About, What We Do, Activities and Initiatives, Events Calendar, News and Updates, Resources and Publications, Knowledge Hub, Applications and Opportunities, and Contact.</w:t>
      </w:r>
    </w:p>
    <w:p w14:paraId="5F41DBB7" w14:textId="77777777" w:rsidR="00AF0F93" w:rsidRDefault="00000000" w:rsidP="007400CA">
      <w:pPr>
        <w:pStyle w:val="ListParagraph"/>
        <w:numPr>
          <w:ilvl w:val="0"/>
          <w:numId w:val="6"/>
        </w:numPr>
        <w:spacing w:after="100" w:line="280" w:lineRule="auto"/>
      </w:pPr>
      <w:r>
        <w:t>For each, define the primary content blocks and interaction pattern up front — for example, Resources as a filter bar plus card grid plus pagination; Events as a calendar/list toggle plus an individual event page with a Register call to action.</w:t>
      </w:r>
    </w:p>
    <w:p w14:paraId="7C96F1A4" w14:textId="577B728D" w:rsidR="00AF0F93" w:rsidRDefault="00000000" w:rsidP="007400CA">
      <w:pPr>
        <w:pStyle w:val="ListParagraph"/>
        <w:numPr>
          <w:ilvl w:val="0"/>
          <w:numId w:val="6"/>
        </w:numPr>
        <w:spacing w:after="100" w:line="280" w:lineRule="auto"/>
      </w:pPr>
      <w:r>
        <w:t>Produce at least one mobile frame per key template (Home plus one content-heavy page)</w:t>
      </w:r>
      <w:r w:rsidR="007400CA">
        <w:t>.</w:t>
      </w:r>
    </w:p>
    <w:p w14:paraId="45C10B93" w14:textId="77777777" w:rsidR="00AF0F93" w:rsidRDefault="00000000">
      <w:pPr>
        <w:pStyle w:val="Heading2"/>
      </w:pPr>
      <w:r>
        <w:t>6.3 Medium-term — the functional features the ToR prices separately</w:t>
      </w:r>
    </w:p>
    <w:p w14:paraId="19E5EEEE" w14:textId="77777777" w:rsidR="00AF0F93" w:rsidRDefault="00000000" w:rsidP="007400CA">
      <w:pPr>
        <w:pStyle w:val="ListParagraph"/>
        <w:numPr>
          <w:ilvl w:val="0"/>
          <w:numId w:val="8"/>
        </w:numPr>
        <w:spacing w:after="100" w:line="280" w:lineRule="auto"/>
      </w:pPr>
      <w:r>
        <w:t>Application/registration flow: form → confirmation / auto-acknowledgment screen → (the admin dashboard itself is backend, but the applicant-facing confirmation and status messaging should be designed).</w:t>
      </w:r>
    </w:p>
    <w:p w14:paraId="250BE2D9" w14:textId="77777777" w:rsidR="00AF0F93" w:rsidRDefault="00000000" w:rsidP="007400CA">
      <w:pPr>
        <w:pStyle w:val="ListParagraph"/>
        <w:numPr>
          <w:ilvl w:val="0"/>
          <w:numId w:val="8"/>
        </w:numPr>
        <w:spacing w:after="100" w:line="280" w:lineRule="auto"/>
      </w:pPr>
      <w:r>
        <w:t>Event registration flow: event detail page → registration form → confirmation → add-to-calendar (iCal/Google) action → a waitlisted state.</w:t>
      </w:r>
    </w:p>
    <w:p w14:paraId="540A761F" w14:textId="77777777" w:rsidR="00AF0F93" w:rsidRDefault="00000000" w:rsidP="007400CA">
      <w:pPr>
        <w:pStyle w:val="ListParagraph"/>
        <w:numPr>
          <w:ilvl w:val="0"/>
          <w:numId w:val="8"/>
        </w:numPr>
        <w:spacing w:after="100" w:line="280" w:lineRule="auto"/>
      </w:pPr>
      <w:r>
        <w:t>Resources and Publications: filter by topic, date, author, and partner organisation; search; sort; pagination; an individual resource/article template; a clear treatment for downloadable files.</w:t>
      </w:r>
    </w:p>
    <w:p w14:paraId="3062748E" w14:textId="77777777" w:rsidR="00AF0F93" w:rsidRDefault="00000000" w:rsidP="007400CA">
      <w:pPr>
        <w:pStyle w:val="ListParagraph"/>
        <w:numPr>
          <w:ilvl w:val="0"/>
          <w:numId w:val="8"/>
        </w:numPr>
        <w:spacing w:after="100" w:line="280" w:lineRule="auto"/>
      </w:pPr>
      <w:r>
        <w:t>Knowledge Hub: a browsing/categorisation pattern and a visible way for “searchable metadata” to reach the user — typically a search bar plus tags/filters, distinct from the Resources filter above.</w:t>
      </w:r>
    </w:p>
    <w:p w14:paraId="4C1E37A3" w14:textId="77777777" w:rsidR="00AF0F93" w:rsidRDefault="00000000">
      <w:pPr>
        <w:pStyle w:val="Heading2"/>
      </w:pPr>
      <w:r>
        <w:t>6.4 Supporting work</w:t>
      </w:r>
    </w:p>
    <w:p w14:paraId="3E495011" w14:textId="77777777" w:rsidR="00AF0F93" w:rsidRDefault="00000000">
      <w:pPr>
        <w:pStyle w:val="ListParagraph"/>
        <w:numPr>
          <w:ilvl w:val="0"/>
          <w:numId w:val="2"/>
        </w:numPr>
        <w:spacing w:after="80" w:line="280" w:lineRule="auto"/>
      </w:pPr>
      <w:r>
        <w:t>Expand the component library: filter/tag chips, pagination, a calendar widget, additional form-validation states, a modal/lightbox (for galleries or confirmations), breadcrumbs, and tabs or an accordion (useful for FAQs or Knowledge Hub categories).</w:t>
      </w:r>
    </w:p>
    <w:p w14:paraId="1D916C94" w14:textId="77777777" w:rsidR="00AF0F93" w:rsidRDefault="00000000">
      <w:pPr>
        <w:pStyle w:val="ListParagraph"/>
        <w:numPr>
          <w:ilvl w:val="0"/>
          <w:numId w:val="2"/>
        </w:numPr>
        <w:spacing w:after="80" w:line="280" w:lineRule="auto"/>
      </w:pPr>
      <w:r>
        <w:t>Run an accessibility pass once the palette is locked: contrast-check every text/background pairing, especially muted captions on dark sections, and define visible focus states for interactive elements.</w:t>
      </w:r>
    </w:p>
    <w:p w14:paraId="6EFF196B" w14:textId="30681B5C" w:rsidR="00AF0F93" w:rsidRDefault="00000000">
      <w:pPr>
        <w:pStyle w:val="ListParagraph"/>
        <w:numPr>
          <w:ilvl w:val="0"/>
          <w:numId w:val="2"/>
        </w:numPr>
        <w:spacing w:after="80" w:line="280" w:lineRule="auto"/>
      </w:pPr>
      <w:r>
        <w:t xml:space="preserve">Document the content model for each future item type — Article/Publication, Event, Opportunity/Call, News item — while still in design. </w:t>
      </w:r>
    </w:p>
    <w:p w14:paraId="102A8553" w14:textId="196B9F08" w:rsidR="00AF0F93" w:rsidRDefault="00AF0F93">
      <w:pPr>
        <w:spacing w:after="160" w:line="300" w:lineRule="auto"/>
      </w:pPr>
    </w:p>
    <w:sectPr w:rsidR="00AF0F93">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4E56"/>
    <w:multiLevelType w:val="hybridMultilevel"/>
    <w:tmpl w:val="CE96C686"/>
    <w:lvl w:ilvl="0" w:tplc="04090001">
      <w:start w:val="1"/>
      <w:numFmt w:val="bullet"/>
      <w:lvlText w:val=""/>
      <w:lvlJc w:val="left"/>
      <w:pPr>
        <w:ind w:left="4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104161"/>
    <w:multiLevelType w:val="hybridMultilevel"/>
    <w:tmpl w:val="C9DC9A88"/>
    <w:lvl w:ilvl="0" w:tplc="04090001">
      <w:start w:val="1"/>
      <w:numFmt w:val="bullet"/>
      <w:lvlText w:val=""/>
      <w:lvlJc w:val="left"/>
      <w:pPr>
        <w:ind w:left="4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B53631"/>
    <w:multiLevelType w:val="hybridMultilevel"/>
    <w:tmpl w:val="8EC21D1A"/>
    <w:lvl w:ilvl="0" w:tplc="E0F8325A">
      <w:start w:val="1"/>
      <w:numFmt w:val="bullet"/>
      <w:lvlText w:val="•"/>
      <w:lvlJc w:val="left"/>
      <w:pPr>
        <w:ind w:left="420" w:hanging="260"/>
      </w:pPr>
    </w:lvl>
    <w:lvl w:ilvl="1" w:tplc="124653E0">
      <w:start w:val="1"/>
      <w:numFmt w:val="bullet"/>
      <w:lvlText w:val="◦"/>
      <w:lvlJc w:val="left"/>
      <w:pPr>
        <w:ind w:left="840" w:hanging="260"/>
      </w:pPr>
    </w:lvl>
    <w:lvl w:ilvl="2" w:tplc="353A5256">
      <w:numFmt w:val="decimal"/>
      <w:lvlText w:val=""/>
      <w:lvlJc w:val="left"/>
    </w:lvl>
    <w:lvl w:ilvl="3" w:tplc="33F45F36">
      <w:numFmt w:val="decimal"/>
      <w:lvlText w:val=""/>
      <w:lvlJc w:val="left"/>
    </w:lvl>
    <w:lvl w:ilvl="4" w:tplc="28F482B6">
      <w:numFmt w:val="decimal"/>
      <w:lvlText w:val=""/>
      <w:lvlJc w:val="left"/>
    </w:lvl>
    <w:lvl w:ilvl="5" w:tplc="E09C6708">
      <w:numFmt w:val="decimal"/>
      <w:lvlText w:val=""/>
      <w:lvlJc w:val="left"/>
    </w:lvl>
    <w:lvl w:ilvl="6" w:tplc="276499AE">
      <w:numFmt w:val="decimal"/>
      <w:lvlText w:val=""/>
      <w:lvlJc w:val="left"/>
    </w:lvl>
    <w:lvl w:ilvl="7" w:tplc="14BEFDAC">
      <w:numFmt w:val="decimal"/>
      <w:lvlText w:val=""/>
      <w:lvlJc w:val="left"/>
    </w:lvl>
    <w:lvl w:ilvl="8" w:tplc="3B3606FA">
      <w:numFmt w:val="decimal"/>
      <w:lvlText w:val=""/>
      <w:lvlJc w:val="left"/>
    </w:lvl>
  </w:abstractNum>
  <w:abstractNum w:abstractNumId="3" w15:restartNumberingAfterBreak="0">
    <w:nsid w:val="23F236A5"/>
    <w:multiLevelType w:val="hybridMultilevel"/>
    <w:tmpl w:val="0FEE9FB2"/>
    <w:lvl w:ilvl="0" w:tplc="D81C4C20">
      <w:start w:val="1"/>
      <w:numFmt w:val="decimal"/>
      <w:lvlText w:val="%1."/>
      <w:lvlJc w:val="left"/>
      <w:pPr>
        <w:ind w:left="420" w:hanging="300"/>
      </w:pPr>
    </w:lvl>
    <w:lvl w:ilvl="1" w:tplc="FD72AED6">
      <w:numFmt w:val="decimal"/>
      <w:lvlText w:val=""/>
      <w:lvlJc w:val="left"/>
    </w:lvl>
    <w:lvl w:ilvl="2" w:tplc="C7FCC418">
      <w:numFmt w:val="decimal"/>
      <w:lvlText w:val=""/>
      <w:lvlJc w:val="left"/>
    </w:lvl>
    <w:lvl w:ilvl="3" w:tplc="4038FC94">
      <w:numFmt w:val="decimal"/>
      <w:lvlText w:val=""/>
      <w:lvlJc w:val="left"/>
    </w:lvl>
    <w:lvl w:ilvl="4" w:tplc="75F23C14">
      <w:numFmt w:val="decimal"/>
      <w:lvlText w:val=""/>
      <w:lvlJc w:val="left"/>
    </w:lvl>
    <w:lvl w:ilvl="5" w:tplc="43F20C8E">
      <w:numFmt w:val="decimal"/>
      <w:lvlText w:val=""/>
      <w:lvlJc w:val="left"/>
    </w:lvl>
    <w:lvl w:ilvl="6" w:tplc="10A6EB7A">
      <w:numFmt w:val="decimal"/>
      <w:lvlText w:val=""/>
      <w:lvlJc w:val="left"/>
    </w:lvl>
    <w:lvl w:ilvl="7" w:tplc="3D10EE5C">
      <w:numFmt w:val="decimal"/>
      <w:lvlText w:val=""/>
      <w:lvlJc w:val="left"/>
    </w:lvl>
    <w:lvl w:ilvl="8" w:tplc="08E0F3F8">
      <w:numFmt w:val="decimal"/>
      <w:lvlText w:val=""/>
      <w:lvlJc w:val="left"/>
    </w:lvl>
  </w:abstractNum>
  <w:abstractNum w:abstractNumId="4" w15:restartNumberingAfterBreak="0">
    <w:nsid w:val="3EC42CEC"/>
    <w:multiLevelType w:val="hybridMultilevel"/>
    <w:tmpl w:val="43686C90"/>
    <w:lvl w:ilvl="0" w:tplc="51FEFA64">
      <w:start w:val="1"/>
      <w:numFmt w:val="decimal"/>
      <w:lvlText w:val="%1."/>
      <w:lvlJc w:val="left"/>
      <w:pPr>
        <w:ind w:left="420" w:hanging="300"/>
      </w:pPr>
    </w:lvl>
    <w:lvl w:ilvl="1" w:tplc="89A623CA">
      <w:numFmt w:val="decimal"/>
      <w:lvlText w:val=""/>
      <w:lvlJc w:val="left"/>
    </w:lvl>
    <w:lvl w:ilvl="2" w:tplc="8402AB2A">
      <w:numFmt w:val="decimal"/>
      <w:lvlText w:val=""/>
      <w:lvlJc w:val="left"/>
    </w:lvl>
    <w:lvl w:ilvl="3" w:tplc="17381B86">
      <w:numFmt w:val="decimal"/>
      <w:lvlText w:val=""/>
      <w:lvlJc w:val="left"/>
    </w:lvl>
    <w:lvl w:ilvl="4" w:tplc="6D48E4AE">
      <w:numFmt w:val="decimal"/>
      <w:lvlText w:val=""/>
      <w:lvlJc w:val="left"/>
    </w:lvl>
    <w:lvl w:ilvl="5" w:tplc="AB7AF618">
      <w:numFmt w:val="decimal"/>
      <w:lvlText w:val=""/>
      <w:lvlJc w:val="left"/>
    </w:lvl>
    <w:lvl w:ilvl="6" w:tplc="B762E308">
      <w:numFmt w:val="decimal"/>
      <w:lvlText w:val=""/>
      <w:lvlJc w:val="left"/>
    </w:lvl>
    <w:lvl w:ilvl="7" w:tplc="43FA1BB6">
      <w:numFmt w:val="decimal"/>
      <w:lvlText w:val=""/>
      <w:lvlJc w:val="left"/>
    </w:lvl>
    <w:lvl w:ilvl="8" w:tplc="8DB278B6">
      <w:numFmt w:val="decimal"/>
      <w:lvlText w:val=""/>
      <w:lvlJc w:val="left"/>
    </w:lvl>
  </w:abstractNum>
  <w:abstractNum w:abstractNumId="5" w15:restartNumberingAfterBreak="0">
    <w:nsid w:val="5DDA49F1"/>
    <w:multiLevelType w:val="hybridMultilevel"/>
    <w:tmpl w:val="CC207C9C"/>
    <w:lvl w:ilvl="0" w:tplc="C8A881D8">
      <w:start w:val="1"/>
      <w:numFmt w:val="bullet"/>
      <w:lvlText w:val="●"/>
      <w:lvlJc w:val="left"/>
      <w:pPr>
        <w:ind w:left="720" w:hanging="360"/>
      </w:pPr>
    </w:lvl>
    <w:lvl w:ilvl="1" w:tplc="CEDA3EBE">
      <w:start w:val="1"/>
      <w:numFmt w:val="bullet"/>
      <w:lvlText w:val="○"/>
      <w:lvlJc w:val="left"/>
      <w:pPr>
        <w:ind w:left="1440" w:hanging="360"/>
      </w:pPr>
    </w:lvl>
    <w:lvl w:ilvl="2" w:tplc="5FD84360">
      <w:start w:val="1"/>
      <w:numFmt w:val="bullet"/>
      <w:lvlText w:val="■"/>
      <w:lvlJc w:val="left"/>
      <w:pPr>
        <w:ind w:left="2160" w:hanging="360"/>
      </w:pPr>
    </w:lvl>
    <w:lvl w:ilvl="3" w:tplc="3D763192">
      <w:start w:val="1"/>
      <w:numFmt w:val="bullet"/>
      <w:lvlText w:val="●"/>
      <w:lvlJc w:val="left"/>
      <w:pPr>
        <w:ind w:left="2880" w:hanging="360"/>
      </w:pPr>
    </w:lvl>
    <w:lvl w:ilvl="4" w:tplc="F87EB986">
      <w:start w:val="1"/>
      <w:numFmt w:val="bullet"/>
      <w:lvlText w:val="○"/>
      <w:lvlJc w:val="left"/>
      <w:pPr>
        <w:ind w:left="3600" w:hanging="360"/>
      </w:pPr>
    </w:lvl>
    <w:lvl w:ilvl="5" w:tplc="C6A08E12">
      <w:start w:val="1"/>
      <w:numFmt w:val="bullet"/>
      <w:lvlText w:val="■"/>
      <w:lvlJc w:val="left"/>
      <w:pPr>
        <w:ind w:left="4320" w:hanging="360"/>
      </w:pPr>
    </w:lvl>
    <w:lvl w:ilvl="6" w:tplc="CCFC7F3E">
      <w:start w:val="1"/>
      <w:numFmt w:val="bullet"/>
      <w:lvlText w:val="●"/>
      <w:lvlJc w:val="left"/>
      <w:pPr>
        <w:ind w:left="5040" w:hanging="360"/>
      </w:pPr>
    </w:lvl>
    <w:lvl w:ilvl="7" w:tplc="ECFE51C0">
      <w:start w:val="1"/>
      <w:numFmt w:val="bullet"/>
      <w:lvlText w:val="●"/>
      <w:lvlJc w:val="left"/>
      <w:pPr>
        <w:ind w:left="5760" w:hanging="360"/>
      </w:pPr>
    </w:lvl>
    <w:lvl w:ilvl="8" w:tplc="A2C8815E">
      <w:start w:val="1"/>
      <w:numFmt w:val="bullet"/>
      <w:lvlText w:val="●"/>
      <w:lvlJc w:val="left"/>
      <w:pPr>
        <w:ind w:left="6480" w:hanging="360"/>
      </w:pPr>
    </w:lvl>
  </w:abstractNum>
  <w:abstractNum w:abstractNumId="6" w15:restartNumberingAfterBreak="0">
    <w:nsid w:val="75761106"/>
    <w:multiLevelType w:val="hybridMultilevel"/>
    <w:tmpl w:val="41ACE7C0"/>
    <w:lvl w:ilvl="0" w:tplc="04090001">
      <w:start w:val="1"/>
      <w:numFmt w:val="bullet"/>
      <w:lvlText w:val=""/>
      <w:lvlJc w:val="left"/>
      <w:pPr>
        <w:ind w:left="4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24104519">
    <w:abstractNumId w:val="5"/>
    <w:lvlOverride w:ilvl="0">
      <w:startOverride w:val="1"/>
    </w:lvlOverride>
  </w:num>
  <w:num w:numId="2" w16cid:durableId="1742168368">
    <w:abstractNumId w:val="2"/>
    <w:lvlOverride w:ilvl="0">
      <w:startOverride w:val="1"/>
    </w:lvlOverride>
  </w:num>
  <w:num w:numId="3" w16cid:durableId="1902716441">
    <w:abstractNumId w:val="4"/>
    <w:lvlOverride w:ilvl="0">
      <w:startOverride w:val="1"/>
    </w:lvlOverride>
  </w:num>
  <w:num w:numId="4" w16cid:durableId="1716194788">
    <w:abstractNumId w:val="3"/>
    <w:lvlOverride w:ilvl="0">
      <w:startOverride w:val="1"/>
    </w:lvlOverride>
  </w:num>
  <w:num w:numId="5" w16cid:durableId="1199054128">
    <w:abstractNumId w:val="4"/>
  </w:num>
  <w:num w:numId="6" w16cid:durableId="1434285229">
    <w:abstractNumId w:val="1"/>
  </w:num>
  <w:num w:numId="7" w16cid:durableId="1371104720">
    <w:abstractNumId w:val="6"/>
  </w:num>
  <w:num w:numId="8" w16cid:durableId="23844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F93"/>
    <w:rsid w:val="0038461A"/>
    <w:rsid w:val="005A0304"/>
    <w:rsid w:val="005C3062"/>
    <w:rsid w:val="007400CA"/>
    <w:rsid w:val="008550AA"/>
    <w:rsid w:val="00916306"/>
    <w:rsid w:val="00AF0F93"/>
    <w:rsid w:val="00D30F06"/>
    <w:rsid w:val="00D809DA"/>
    <w:rsid w:val="00E86B33"/>
  </w:rsids>
  <m:mathPr>
    <m:mathFont m:val="Cambria Math"/>
    <m:brkBin m:val="before"/>
    <m:brkBinSub m:val="--"/>
    <m:smallFrac m:val="0"/>
    <m:dispDef/>
    <m:lMargin m:val="0"/>
    <m:rMargin m:val="0"/>
    <m:defJc m:val="centerGroup"/>
    <m:wrapIndent m:val="1440"/>
    <m:intLim m:val="subSup"/>
    <m:naryLim m:val="undOvr"/>
  </m:mathPr>
  <w:themeFontLang w:val="en-LY" w:bidi="ar-SA"/>
  <w:clrSchemeMapping w:bg1="light1" w:t1="dark1" w:bg2="light2" w:t2="dark2" w:accent1="accent1" w:accent2="accent2" w:accent3="accent3" w:accent4="accent4" w:accent5="accent5" w:accent6="accent6" w:hyperlink="hyperlink" w:followedHyperlink="followedHyperlink"/>
  <w:decimalSymbol w:val=","/>
  <w:listSeparator w:val=","/>
  <w14:docId w14:val="03FA4DC1"/>
  <w15:docId w15:val="{9F86EAAA-A404-0246-BEA5-A6A9319A8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L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1F6F4A"/>
      </w:pBdr>
      <w:spacing w:before="360" w:after="160"/>
      <w:outlineLvl w:val="0"/>
    </w:pPr>
    <w:rPr>
      <w:b/>
      <w:bCs/>
      <w:color w:val="1F6F4A"/>
      <w:sz w:val="28"/>
      <w:szCs w:val="28"/>
    </w:rPr>
  </w:style>
  <w:style w:type="paragraph" w:styleId="Heading2">
    <w:name w:val="heading 2"/>
    <w:uiPriority w:val="9"/>
    <w:unhideWhenUsed/>
    <w:qFormat/>
    <w:pPr>
      <w:spacing w:before="260" w:after="120"/>
      <w:outlineLvl w:val="1"/>
    </w:pPr>
    <w:rPr>
      <w:b/>
      <w:bCs/>
      <w:color w:val="222222"/>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DAHMANI</cp:lastModifiedBy>
  <cp:revision>2</cp:revision>
  <dcterms:created xsi:type="dcterms:W3CDTF">2026-09-09T07:50:00Z</dcterms:created>
  <dcterms:modified xsi:type="dcterms:W3CDTF">2026-09-09T07:50:00Z</dcterms:modified>
</cp:coreProperties>
</file>